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60"/>
      </w:pPr>
      <w:r>
        <w:drawing>
          <wp:inline xmlns:a="http://schemas.openxmlformats.org/drawingml/2006/main" xmlns:pic="http://schemas.openxmlformats.org/drawingml/2006/picture">
            <wp:extent cx="2232000" cy="55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yantech_Logo_Concept_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32000" cy="558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9638"/>
        <w:tblLayout w:type="fixed"/>
        <w:tblLook w:firstColumn="1" w:firstRow="1" w:lastColumn="0" w:lastRow="0" w:noHBand="0" w:noVBand="1" w:val="04A0"/>
        <w:tblInd w:w="0" w:type="dxa"/>
        <w:tblBorders>
          <w:top w:val="single" w:sz="0" w:color="0B1626"/>
          <w:left w:val="single" w:sz="0" w:color="0B1626"/>
          <w:bottom w:val="single" w:sz="0" w:color="0B1626"/>
          <w:right w:val="single" w:sz="0" w:color="0B1626"/>
        </w:tblBorders>
      </w:tblPr>
      <w:tblGrid>
        <w:gridCol w:w="9638"/>
      </w:tblGrid>
      <w:tr>
        <w:tc>
          <w:tcPr>
            <w:tcW w:type="dxa" w:w="9638"/>
            <w:shd w:fill="0B1626"/>
            <w:tcMar>
              <w:top w:w="620" w:type="dxa"/>
              <w:start w:w="600" w:type="dxa"/>
              <w:bottom w:w="650" w:type="dxa"/>
              <w:end w:w="600" w:type="dxa"/>
            </w:tcMar>
            <w:vAlign w:val="center"/>
          </w:tcPr>
          <w:p>
            <w:pPr>
              <w:spacing w:after="400"/>
            </w:pPr>
            <w:r>
              <w:rPr>
                <w:rFonts w:ascii="Arial" w:hAnsi="Arial" w:eastAsia="Arial"/>
                <w:b/>
                <w:color w:val="B89555"/>
                <w:sz w:val="18"/>
              </w:rPr>
              <w:t>CASE STUDY</w:t>
            </w:r>
          </w:p>
          <w:p>
            <w:pPr>
              <w:spacing w:after="320" w:line="240" w:lineRule="auto"/>
            </w:pPr>
            <w:r>
              <w:rPr>
                <w:rFonts w:ascii="Arial" w:hAnsi="Arial" w:eastAsia="Arial"/>
                <w:b/>
                <w:color w:val="FFFFFF"/>
                <w:sz w:val="54"/>
              </w:rPr>
              <w:t>FROM INVESTMENT REQUIREMENT TO AI-ENABLED PRODUCTION PLATFORM</w:t>
            </w:r>
          </w:p>
          <w:p>
            <w:r>
              <w:rPr>
                <w:rFonts w:ascii="Arial" w:hAnsi="Arial" w:eastAsia="Arial"/>
                <w:b/>
                <w:color w:val="A7AFBA"/>
                <w:sz w:val="18"/>
              </w:rPr>
              <w:t>FROM AI POSSIBILITY TO PRODUCTION</w:t>
            </w:r>
          </w:p>
        </w:tc>
      </w:tr>
    </w:tbl>
    <w:p>
      <w:pPr>
        <w:spacing w:before="480"/>
      </w:pPr>
      <w:r>
        <w:rPr>
          <w:rFonts w:ascii="Arial" w:hAnsi="Arial" w:eastAsia="Arial"/>
          <w:b/>
          <w:color w:val="0B1626"/>
          <w:sz w:val="22"/>
        </w:rPr>
        <w:t>Senior technology leadership with hands-on delivery.</w:t>
      </w:r>
    </w:p>
    <w:p>
      <w:r>
        <w:rPr>
          <w:rFonts w:ascii="Arial" w:hAnsi="Arial" w:eastAsia="Arial"/>
          <w:b w:val="0"/>
          <w:color w:val="66707C"/>
          <w:sz w:val="18"/>
        </w:rPr>
        <w:t>Bayantech Ltd  •  2026</w:t>
      </w:r>
    </w:p>
    <w:p>
      <w:pPr>
        <w:sectPr>
          <w:pgSz w:w="11906" w:h="16838"/>
          <w:pgMar w:top="1020" w:right="1134" w:bottom="1020" w:left="1134" w:header="369" w:footer="369" w:gutter="0"/>
          <w:cols w:space="720"/>
          <w:docGrid w:linePitch="360"/>
        </w:sectPr>
      </w:pPr>
    </w:p>
    <w:p>
      <w:pPr>
        <w:pStyle w:val="Heading3"/>
        <w:pBdr>
          <w:left w:val="single" w:sz="18" w:space="8" w:color="B89555"/>
        </w:pBdr>
      </w:pPr>
      <w:r>
        <w:t>Challenge</w:t>
      </w:r>
    </w:p>
    <w:p>
      <w:pPr/>
      <w:r>
        <w:rPr>
          <w:b/>
          <w:color w:val="0B1626"/>
        </w:rPr>
        <w:t>A financial-services organisation needed a better way to monitor investment portfolios, understand performance across individual holdings and identify movements requiring attention.</w:t>
      </w:r>
    </w:p>
    <w:p>
      <w:pPr/>
      <w:r>
        <w:t>The existing process depended heavily on spreadsheets, manual analysis and repeated checking of market data.</w:t>
      </w:r>
    </w:p>
    <w:p>
      <w:pPr/>
      <w:r>
        <w:t>The requirement evolved beyond simple portfolio reporting into a platform capable of supporting ongoing investment monitoring and analysis.</w:t>
      </w:r>
    </w:p>
    <w:p>
      <w:pPr>
        <w:pStyle w:val="Heading3"/>
        <w:pBdr>
          <w:left w:val="single" w:sz="18" w:space="8" w:color="B89555"/>
        </w:pBdr>
      </w:pPr>
      <w:r>
        <w:t>My Role</w:t>
      </w:r>
    </w:p>
    <w:p>
      <w:pPr/>
      <w:r>
        <w:rPr>
          <w:b/>
          <w:color w:val="0B1626"/>
        </w:rPr>
        <w:t>I led the work from initial business requirement through solution design and implementation.</w:t>
      </w:r>
    </w:p>
    <w:p>
      <w:pPr/>
      <w:r>
        <w:t>This included:</w:t>
      </w:r>
    </w:p>
    <w:p>
      <w:pPr>
        <w:pStyle w:val="ListBullet"/>
      </w:pPr>
      <w:r>
        <w:t>Understanding the operational and investment requirements</w:t>
      </w:r>
    </w:p>
    <w:p>
      <w:pPr>
        <w:pStyle w:val="ListBullet"/>
      </w:pPr>
      <w:r>
        <w:t>Translating those requirements into a working product</w:t>
      </w:r>
    </w:p>
    <w:p>
      <w:pPr>
        <w:pStyle w:val="ListBullet"/>
      </w:pPr>
      <w:r>
        <w:t>Designing the application and data architecture</w:t>
      </w:r>
    </w:p>
    <w:p>
      <w:pPr>
        <w:pStyle w:val="ListBullet"/>
      </w:pPr>
      <w:r>
        <w:t>Building the initial platform</w:t>
      </w:r>
    </w:p>
    <w:p>
      <w:pPr>
        <w:pStyle w:val="ListBullet"/>
      </w:pPr>
      <w:r>
        <w:t>Integrating market-data services</w:t>
      </w:r>
    </w:p>
    <w:p>
      <w:pPr>
        <w:pStyle w:val="ListBullet"/>
      </w:pPr>
      <w:r>
        <w:t>Developing portfolio monitoring and alerting</w:t>
      </w:r>
    </w:p>
    <w:p>
      <w:pPr>
        <w:pStyle w:val="ListBullet"/>
      </w:pPr>
      <w:r>
        <w:t>Adding AI-generated analysis</w:t>
      </w:r>
    </w:p>
    <w:p>
      <w:pPr>
        <w:pStyle w:val="ListBullet"/>
      </w:pPr>
      <w:r>
        <w:t>Designing user, company administrator and platform administrator capabilities</w:t>
      </w:r>
    </w:p>
    <w:p>
      <w:pPr>
        <w:pStyle w:val="ListBullet"/>
      </w:pPr>
      <w:r>
        <w:t>Preparing the solution for cloud deployment and production use</w:t>
      </w:r>
    </w:p>
    <w:p>
      <w:pPr>
        <w:pStyle w:val="Heading3"/>
        <w:pBdr>
          <w:left w:val="single" w:sz="18" w:space="8" w:color="B89555"/>
        </w:pBdr>
      </w:pPr>
      <w:r>
        <w:t>Solution</w:t>
      </w:r>
    </w:p>
    <w:p>
      <w:pPr/>
      <w:r>
        <w:rPr>
          <w:b/>
          <w:color w:val="0B1626"/>
        </w:rPr>
        <w:t>The resulting platform combined traditional application engineering with AI-enabled capabilities.</w:t>
      </w:r>
    </w:p>
    <w:p>
      <w:pPr/>
      <w:r>
        <w:t>Core functionality included:</w:t>
      </w:r>
    </w:p>
    <w:p>
      <w:pPr>
        <w:pStyle w:val="ListBullet"/>
      </w:pPr>
      <w:r>
        <w:t>Portfolio and ticker management</w:t>
      </w:r>
    </w:p>
    <w:p>
      <w:pPr>
        <w:pStyle w:val="ListBullet"/>
      </w:pPr>
      <w:r>
        <w:t>Purchase-price and performance tracking</w:t>
      </w:r>
    </w:p>
    <w:p>
      <w:pPr>
        <w:pStyle w:val="ListBullet"/>
      </w:pPr>
      <w:r>
        <w:t>Current and historical market-data integration</w:t>
      </w:r>
    </w:p>
    <w:p>
      <w:pPr>
        <w:pStyle w:val="ListBullet"/>
      </w:pPr>
      <w:r>
        <w:t>Portfolio-level and security-level analysis</w:t>
      </w:r>
    </w:p>
    <w:p>
      <w:pPr>
        <w:pStyle w:val="ListBullet"/>
      </w:pPr>
      <w:r>
        <w:t>Configurable profit and loss triggers</w:t>
      </w:r>
    </w:p>
    <w:p>
      <w:pPr>
        <w:pStyle w:val="ListBullet"/>
      </w:pPr>
      <w:r>
        <w:t>Automated alerts</w:t>
      </w:r>
    </w:p>
    <w:p>
      <w:pPr>
        <w:pStyle w:val="ListBullet"/>
      </w:pPr>
      <w:r>
        <w:t>AI-generated portfolio commentary</w:t>
      </w:r>
    </w:p>
    <w:p>
      <w:pPr>
        <w:pStyle w:val="ListBullet"/>
      </w:pPr>
      <w:r>
        <w:t>User registration and access control</w:t>
      </w:r>
    </w:p>
    <w:p>
      <w:pPr>
        <w:pStyle w:val="ListBullet"/>
      </w:pPr>
      <w:r>
        <w:t>Administrative dashboards</w:t>
      </w:r>
    </w:p>
    <w:p>
      <w:pPr>
        <w:pStyle w:val="ListBullet"/>
      </w:pPr>
      <w:r>
        <w:t>Cloud-hosted deployment</w:t>
      </w:r>
    </w:p>
    <w:p>
      <w:pPr/>
      <w:r>
        <w:rPr>
          <w:b/>
          <w:color w:val="0B1626"/>
        </w:rPr>
        <w:t>The architecture used a Python-based application stack with external market-data services and a production database.</w:t>
      </w:r>
    </w:p>
    <w:p>
      <w:pPr>
        <w:pStyle w:val="Heading3"/>
        <w:pBdr>
          <w:left w:val="single" w:sz="18" w:space="8" w:color="B89555"/>
        </w:pBdr>
      </w:pPr>
      <w:r>
        <w:t>AI Approach</w:t>
      </w:r>
    </w:p>
    <w:p>
      <w:pPr/>
      <w:r>
        <w:rPr>
          <w:b/>
          <w:color w:val="0B1626"/>
        </w:rPr>
        <w:t>AI was used where it could add interpretation and productivity rather than replacing deterministic financial calculations.</w:t>
      </w:r>
    </w:p>
    <w:p>
      <w:pPr/>
      <w:r>
        <w:t>This distinction was important.</w:t>
      </w:r>
    </w:p>
    <w:p>
      <w:pPr/>
      <w:r>
        <w:t>Portfolio values, price changes and trigger conditions remained rules-based and auditable, while AI was used to help explain the resulting information and provide contextual analysis.</w:t>
      </w:r>
    </w:p>
    <w:p>
      <w:pPr/>
      <w:r>
        <w:t>This created a practical division between:</w:t>
      </w:r>
    </w:p>
    <w:tbl>
      <w:tblPr>
        <w:tblW w:type="dxa" w:w="9638"/>
        <w:tblLayout w:type="fixed"/>
        <w:tblLook w:firstColumn="1" w:firstRow="1" w:lastColumn="0" w:lastRow="0" w:noHBand="0" w:noVBand="1" w:val="04A0"/>
        <w:tblInd w:w="0" w:type="dxa"/>
        <w:tblBorders>
          <w:top w:val="single" w:sz="5" w:color="A7AFBA"/>
          <w:left w:val="single" w:sz="5" w:color="A7AFBA"/>
          <w:bottom w:val="single" w:sz="5" w:color="A7AFBA"/>
          <w:right w:val="single" w:sz="5" w:color="A7AFBA"/>
        </w:tblBorders>
      </w:tblPr>
      <w:tblGrid>
        <w:gridCol w:w="9638"/>
      </w:tblGrid>
      <w:tr>
        <w:tc>
          <w:tcPr>
            <w:tcW w:type="dxa" w:w="9638"/>
            <w:shd w:fill="F1F2F4"/>
            <w:tcMar>
              <w:top w:w="150" w:type="dxa"/>
              <w:start w:w="230" w:type="dxa"/>
              <w:bottom w:w="150" w:type="dxa"/>
              <w:end w:w="23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color w:val="0B1626"/>
                <w:sz w:val="22"/>
              </w:rPr>
              <w:t>Deterministic systems for facts and calculations</w:t>
            </w:r>
          </w:p>
        </w:tc>
      </w:tr>
    </w:tbl>
    <w:p>
      <w:pPr>
        <w:spacing w:after="20"/>
      </w:pPr>
    </w:p>
    <w:p>
      <w:pPr>
        <w:jc w:val="center"/>
      </w:pPr>
      <w:r>
        <w:rPr>
          <w:b/>
          <w:color w:val="B89555"/>
        </w:rPr>
        <w:t>and</w:t>
      </w:r>
    </w:p>
    <w:tbl>
      <w:tblPr>
        <w:tblW w:type="dxa" w:w="9638"/>
        <w:tblLayout w:type="fixed"/>
        <w:tblLook w:firstColumn="1" w:firstRow="1" w:lastColumn="0" w:lastRow="0" w:noHBand="0" w:noVBand="1" w:val="04A0"/>
        <w:tblInd w:w="0" w:type="dxa"/>
        <w:tblBorders>
          <w:top w:val="single" w:sz="5" w:color="A7AFBA"/>
          <w:left w:val="single" w:sz="5" w:color="A7AFBA"/>
          <w:bottom w:val="single" w:sz="5" w:color="A7AFBA"/>
          <w:right w:val="single" w:sz="5" w:color="A7AFBA"/>
        </w:tblBorders>
      </w:tblPr>
      <w:tblGrid>
        <w:gridCol w:w="9638"/>
      </w:tblGrid>
      <w:tr>
        <w:tc>
          <w:tcPr>
            <w:tcW w:type="dxa" w:w="9638"/>
            <w:shd w:fill="F1F2F4"/>
            <w:tcMar>
              <w:top w:w="150" w:type="dxa"/>
              <w:start w:w="230" w:type="dxa"/>
              <w:bottom w:w="150" w:type="dxa"/>
              <w:end w:w="23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color w:val="0B1626"/>
                <w:sz w:val="22"/>
              </w:rPr>
              <w:t>AI for interpretation and decision support</w:t>
            </w:r>
          </w:p>
        </w:tc>
      </w:tr>
    </w:tbl>
    <w:p>
      <w:pPr>
        <w:spacing w:after="20"/>
      </w:pPr>
    </w:p>
    <w:p>
      <w:pPr>
        <w:pStyle w:val="Heading3"/>
        <w:pBdr>
          <w:left w:val="single" w:sz="18" w:space="8" w:color="B89555"/>
        </w:pBdr>
      </w:pPr>
      <w:r>
        <w:t>Delivery Approach</w:t>
      </w:r>
    </w:p>
    <w:p>
      <w:pPr/>
      <w:r>
        <w:rPr>
          <w:b/>
          <w:color w:val="0B1626"/>
        </w:rPr>
        <w:t>Rather than beginning with a large requirements programme, the solution developed iteratively:</w:t>
      </w:r>
    </w:p>
    <w:tbl>
      <w:tblPr>
        <w:tblW w:type="dxa" w:w="9638"/>
        <w:tblLayout w:type="fixed"/>
        <w:tblLook w:firstColumn="1" w:firstRow="1" w:lastColumn="0" w:lastRow="0" w:noHBand="0" w:noVBand="1" w:val="04A0"/>
        <w:tblInd w:w="0" w:type="dxa"/>
        <w:tblBorders>
          <w:top w:val="single" w:sz="5" w:color="A7AFBA"/>
          <w:left w:val="single" w:sz="5" w:color="A7AFBA"/>
          <w:bottom w:val="single" w:sz="5" w:color="A7AFBA"/>
          <w:right w:val="single" w:sz="5" w:color="A7AFBA"/>
        </w:tblBorders>
      </w:tblPr>
      <w:tblGrid>
        <w:gridCol w:w="9638"/>
      </w:tblGrid>
      <w:tr>
        <w:tc>
          <w:tcPr>
            <w:tcW w:type="dxa" w:w="9638"/>
            <w:shd w:fill="F1F2F4"/>
            <w:tcMar>
              <w:top w:w="150" w:type="dxa"/>
              <w:start w:w="230" w:type="dxa"/>
              <w:bottom w:w="150" w:type="dxa"/>
              <w:end w:w="23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color w:val="B89555"/>
                <w:sz w:val="16"/>
              </w:rPr>
              <w:t>DELIVERY PATHWAY</w:t>
              <w:br/>
            </w:r>
            <w:r>
              <w:rPr>
                <w:rFonts w:ascii="Arial" w:hAnsi="Arial" w:eastAsia="Arial"/>
                <w:b/>
                <w:color w:val="0B1626"/>
                <w:sz w:val="22"/>
              </w:rPr>
              <w:t>Business problem → prototype → user feedback → architecture → additional capability → production deployment</w:t>
            </w:r>
          </w:p>
        </w:tc>
      </w:tr>
    </w:tbl>
    <w:p>
      <w:pPr>
        <w:spacing w:after="20"/>
      </w:pPr>
    </w:p>
    <w:p>
      <w:pPr/>
      <w:r>
        <w:t>AI-assisted development was also used extensively during implementation, accelerating coding, debugging, analysis and iteration while retaining human ownership of architecture and production decisions.</w:t>
      </w:r>
    </w:p>
    <w:p>
      <w:pPr>
        <w:pStyle w:val="Heading3"/>
        <w:pBdr>
          <w:left w:val="single" w:sz="18" w:space="8" w:color="B89555"/>
        </w:pBdr>
      </w:pPr>
      <w:r>
        <w:t>Outcome</w:t>
      </w:r>
    </w:p>
    <w:p>
      <w:pPr/>
      <w:r>
        <w:rPr>
          <w:b/>
          <w:color w:val="0B1626"/>
        </w:rPr>
        <w:t>The project transformed a spreadsheet-intensive monitoring process into an extensible digital platform.</w:t>
      </w:r>
    </w:p>
    <w:p>
      <w:pPr/>
      <w:r>
        <w:t>It also demonstrated that AI-enabled systems do not need to begin as large transformation programmes.</w:t>
      </w:r>
    </w:p>
    <w:p>
      <w:pPr/>
      <w:r>
        <w:t>A focused operational problem can become the foundation for a broader AI-enabled capability when business requirements, architecture and delivery remain tightly connected.</w:t>
      </w:r>
    </w:p>
    <w:p>
      <w:pPr>
        <w:pStyle w:val="Heading3"/>
        <w:pBdr>
          <w:left w:val="single" w:sz="18" w:space="8" w:color="B89555"/>
        </w:pBdr>
      </w:pPr>
      <w:r>
        <w:t>Key Lesson</w:t>
      </w:r>
    </w:p>
    <w:p>
      <w:pPr/>
      <w:r>
        <w:rPr>
          <w:b/>
          <w:color w:val="0B1626"/>
        </w:rPr>
        <w:t>The most valuable role for AI is often not replacing an entire process.</w:t>
      </w:r>
    </w:p>
    <w:p>
      <w:pPr/>
      <w:r>
        <w:t>It is identifying where automation, deterministic systems and AI judgement should each be used, and designing the operating process around that combination.</w:t>
      </w:r>
    </w:p>
    <w:p/>
    <w:tbl>
      <w:tblPr>
        <w:tblW w:type="dxa" w:w="9638"/>
        <w:tblLayout w:type="fixed"/>
        <w:tblLook w:firstColumn="1" w:firstRow="1" w:lastColumn="0" w:lastRow="0" w:noHBand="0" w:noVBand="1" w:val="04A0"/>
        <w:tblInd w:w="0" w:type="dxa"/>
        <w:tblBorders>
          <w:top w:val="single" w:sz="0" w:color="0B1626"/>
          <w:left w:val="single" w:sz="0" w:color="0B1626"/>
          <w:bottom w:val="single" w:sz="0" w:color="0B1626"/>
          <w:right w:val="single" w:sz="0" w:color="0B1626"/>
        </w:tblBorders>
      </w:tblPr>
      <w:tblGrid>
        <w:gridCol w:w="9638"/>
      </w:tblGrid>
      <w:tr>
        <w:tc>
          <w:tcPr>
            <w:tcW w:type="dxa" w:w="9638"/>
            <w:shd w:fill="0B1626"/>
            <w:tcMar>
              <w:top w:w="210" w:type="dxa"/>
              <w:start w:w="260" w:type="dxa"/>
              <w:bottom w:w="210" w:type="dxa"/>
              <w:end w:w="260" w:type="dxa"/>
            </w:tcMar>
          </w:tcPr>
          <w:p>
            <w:r>
              <w:rPr>
                <w:rFonts w:ascii="Arial" w:hAnsi="Arial" w:eastAsia="Arial"/>
                <w:b/>
                <w:color w:val="B89555"/>
                <w:sz w:val="18"/>
              </w:rPr>
              <w:t>DISCUSS A BUSINESS PROBLEM</w:t>
            </w:r>
          </w:p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28"/>
              </w:rPr>
              <w:t>www.bayantech.co.uk</w:t>
            </w:r>
          </w:p>
        </w:tc>
      </w:tr>
    </w:tbl>
    <w:sectPr w:rsidR="00FC693F" w:rsidRPr="0006063C" w:rsidSect="00034616">
      <w:headerReference w:type="default" r:id="rId10"/>
      <w:footerReference w:type="default" r:id="rId11"/>
      <w:headerReference w:type="even" r:id="rId12"/>
      <w:pgSz w:w="11906" w:h="16838"/>
      <w:pgMar w:top="1020" w:right="1134" w:bottom="1020" w:left="1134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9638"/>
      <w:tblLayout w:type="fixed"/>
      <w:tblLook w:firstColumn="1" w:firstRow="1" w:lastColumn="0" w:lastRow="0" w:noHBand="0" w:noVBand="1" w:val="04A0"/>
      <w:tblInd w:w="0" w:type="dxa"/>
    </w:tblPr>
    <w:tblGrid>
      <w:gridCol w:w="7654"/>
      <w:gridCol w:w="1984"/>
    </w:tblGrid>
    <w:tr>
      <w:tc>
        <w:tcPr>
          <w:tcW w:type="dxa" w:w="4819"/>
          <w:tcMar>
            <w:top w:w="0" w:type="dxa"/>
            <w:start w:w="0" w:type="dxa"/>
            <w:bottom w:w="0" w:type="dxa"/>
            <w:end w:w="0" w:type="dxa"/>
          </w:tcMar>
        </w:tcPr>
        <w:p>
          <w:r>
            <w:rPr>
              <w:rFonts w:ascii="Arial" w:hAnsi="Arial" w:eastAsia="Arial"/>
              <w:b w:val="0"/>
              <w:color w:val="66707C"/>
              <w:sz w:val="14"/>
            </w:rPr>
            <w:t>BAYANTECH  •  PRACTICAL AI. REAL-WORLD IMPACT.  •  WWW.BAYANTECH.CO.UK</w:t>
          </w:r>
        </w:p>
      </w:tc>
      <w:tc>
        <w:tcPr>
          <w:tcW w:type="dxa" w:w="4819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jc w:val="right"/>
          </w:pPr>
          <w:r>
            <w:rPr>
              <w:rFonts w:ascii="Arial" w:hAnsi="Arial"/>
              <w:color w:val="66707C"/>
              <w:sz w:val="16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6" w:space="6" w:color="A7AFBA"/>
      </w:pBdr>
    </w:pPr>
    <w:r>
      <w:rPr>
        <w:rFonts w:ascii="Arial" w:hAnsi="Arial" w:eastAsia="Arial"/>
        <w:b/>
        <w:color w:val="0B1626"/>
        <w:sz w:val="18"/>
      </w:rPr>
      <w:t>BAYANTECH</w:t>
    </w:r>
    <w:r>
      <w:rPr>
        <w:rFonts w:ascii="Arial" w:hAnsi="Arial" w:eastAsia="Arial"/>
        <w:b/>
        <w:color w:val="B89555"/>
        <w:sz w:val="16"/>
      </w:rPr>
      <w:t xml:space="preserve">  •  </w:t>
    </w:r>
    <w:r>
      <w:rPr>
        <w:rFonts w:ascii="Arial" w:hAnsi="Arial" w:eastAsia="Arial"/>
        <w:b w:val="0"/>
        <w:color w:val="66707C"/>
        <w:sz w:val="15"/>
      </w:rPr>
      <w:t>CASE STUDY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6" w:space="6" w:color="A7AFBA"/>
      </w:pBdr>
    </w:pPr>
    <w:r>
      <w:rPr>
        <w:rFonts w:ascii="Arial" w:hAnsi="Arial" w:eastAsia="Arial"/>
        <w:b/>
        <w:color w:val="0B1626"/>
        <w:sz w:val="18"/>
      </w:rPr>
      <w:t>BAYANTECH</w:t>
    </w:r>
    <w:r>
      <w:rPr>
        <w:rFonts w:ascii="Arial" w:hAnsi="Arial" w:eastAsia="Arial"/>
        <w:b/>
        <w:color w:val="B89555"/>
        <w:sz w:val="16"/>
      </w:rPr>
      <w:t xml:space="preserve">  •  </w:t>
    </w:r>
    <w:r>
      <w:rPr>
        <w:rFonts w:ascii="Arial" w:hAnsi="Arial" w:eastAsia="Arial"/>
        <w:b w:val="0"/>
        <w:color w:val="66707C"/>
        <w:sz w:val="15"/>
      </w:rPr>
      <w:t>CASE STUDY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Arial"/>
      <w:color w:val="20273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B1626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B89555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0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0B1626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0B1626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20"/>
    </w:pPr>
    <w:rPr>
      <w:rFonts w:asciiTheme="majorHAnsi" w:eastAsiaTheme="majorEastAsia" w:hAnsiTheme="majorHAnsi" w:cstheme="majorBidi" w:ascii="Arial" w:hAnsi="Arial" w:eastAsia="Arial"/>
      <w:b/>
      <w:i/>
      <w:iCs/>
      <w:color w:val="66707C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76" w:lineRule="auto"/>
      <w:ind w:left="369" w:hanging="181"/>
      <w:contextualSpacing/>
    </w:pPr>
    <w:rPr>
      <w:rFonts w:ascii="Arial" w:hAnsi="Arial"/>
      <w:color w:val="202732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76" w:lineRule="auto"/>
      <w:ind w:left="369" w:hanging="181"/>
      <w:contextualSpacing/>
    </w:pPr>
    <w:rPr>
      <w:rFonts w:ascii="Arial" w:hAnsi="Arial"/>
      <w:color w:val="202732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Case Study</dc:subject>
  <dc:creator>Bayantech Ltd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