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drawing>
          <wp:inline xmlns:a="http://schemas.openxmlformats.org/drawingml/2006/main" xmlns:pic="http://schemas.openxmlformats.org/drawingml/2006/picture">
            <wp:extent cx="2232000" cy="558000"/>
            <wp:docPr id="1" name="Picture 1"/>
            <wp:cNvGraphicFramePr>
              <a:graphicFrameLocks noChangeAspect="1"/>
            </wp:cNvGraphicFramePr>
            <a:graphic>
              <a:graphicData uri="http://schemas.openxmlformats.org/drawingml/2006/picture">
                <pic:pic>
                  <pic:nvPicPr>
                    <pic:cNvPr id="0" name="Bayantech_Logo_Concept_01.png"/>
                    <pic:cNvPicPr/>
                  </pic:nvPicPr>
                  <pic:blipFill>
                    <a:blip r:embed="rId9"/>
                    <a:stretch>
                      <a:fillRect/>
                    </a:stretch>
                  </pic:blipFill>
                  <pic:spPr>
                    <a:xfrm>
                      <a:off x="0" y="0"/>
                      <a:ext cx="2232000" cy="558000"/>
                    </a:xfrm>
                    <a:prstGeom prst="rect"/>
                  </pic:spPr>
                </pic:pic>
              </a:graphicData>
            </a:graphic>
          </wp:inline>
        </w:drawing>
      </w:r>
    </w:p>
    <w:tbl>
      <w:tblPr>
        <w:tblW w:type="dxa" w:w="9638"/>
        <w:tblLayout w:type="fixed"/>
        <w:tblLook w:firstColumn="1" w:firstRow="1" w:lastColumn="0" w:lastRow="0" w:noHBand="0" w:noVBand="1" w:val="04A0"/>
        <w:tblInd w:w="0" w:type="dxa"/>
        <w:tblBorders>
          <w:top w:val="single" w:sz="0" w:color="0B1626"/>
          <w:left w:val="single" w:sz="0" w:color="0B1626"/>
          <w:bottom w:val="single" w:sz="0" w:color="0B1626"/>
          <w:right w:val="single" w:sz="0" w:color="0B1626"/>
        </w:tblBorders>
      </w:tblPr>
      <w:tblGrid>
        <w:gridCol w:w="9638"/>
      </w:tblGrid>
      <w:tr>
        <w:tc>
          <w:tcPr>
            <w:tcW w:type="dxa" w:w="9638"/>
            <w:shd w:fill="0B1626"/>
            <w:tcMar>
              <w:top w:w="620" w:type="dxa"/>
              <w:start w:w="600" w:type="dxa"/>
              <w:bottom w:w="650" w:type="dxa"/>
              <w:end w:w="600" w:type="dxa"/>
            </w:tcMar>
            <w:vAlign w:val="center"/>
          </w:tcPr>
          <w:p>
            <w:pPr>
              <w:spacing w:after="400"/>
            </w:pPr>
            <w:r>
              <w:rPr>
                <w:rFonts w:ascii="Arial" w:hAnsi="Arial" w:eastAsia="Arial"/>
                <w:b/>
                <w:color w:val="B89555"/>
                <w:sz w:val="18"/>
              </w:rPr>
              <w:t>FRAMEWORK</w:t>
            </w:r>
          </w:p>
          <w:p>
            <w:pPr>
              <w:spacing w:after="320" w:line="240" w:lineRule="auto"/>
            </w:pPr>
            <w:r>
              <w:rPr>
                <w:rFonts w:ascii="Arial" w:hAnsi="Arial" w:eastAsia="Arial"/>
                <w:b/>
                <w:color w:val="FFFFFF"/>
                <w:sz w:val="54"/>
              </w:rPr>
              <w:t>AI MATURITY ASSESSMENT FRAMEWORK</w:t>
            </w:r>
          </w:p>
          <w:p>
            <w:pPr>
              <w:spacing w:after="160"/>
            </w:pPr>
            <w:r>
              <w:rPr>
                <w:rFonts w:ascii="Arial" w:hAnsi="Arial" w:eastAsia="Arial"/>
                <w:b w:val="0"/>
                <w:color w:val="D6C39A"/>
                <w:sz w:val="26"/>
              </w:rPr>
              <w:t>From experimentation to governed AI-enabled operations</w:t>
            </w:r>
          </w:p>
          <w:p>
            <w:r>
              <w:rPr>
                <w:rFonts w:ascii="Arial" w:hAnsi="Arial" w:eastAsia="Arial"/>
                <w:b/>
                <w:color w:val="A7AFBA"/>
                <w:sz w:val="18"/>
              </w:rPr>
              <w:t>FROM AI POSSIBILITY TO PRODUCTION</w:t>
            </w:r>
          </w:p>
        </w:tc>
      </w:tr>
    </w:tbl>
    <w:p>
      <w:pPr>
        <w:spacing w:before="480"/>
      </w:pPr>
      <w:r>
        <w:rPr>
          <w:rFonts w:ascii="Arial" w:hAnsi="Arial" w:eastAsia="Arial"/>
          <w:b/>
          <w:color w:val="0B1626"/>
          <w:sz w:val="22"/>
        </w:rPr>
        <w:t>Senior technology leadership with hands-on delivery.</w:t>
      </w:r>
    </w:p>
    <w:p>
      <w:r>
        <w:rPr>
          <w:rFonts w:ascii="Arial" w:hAnsi="Arial" w:eastAsia="Arial"/>
          <w:b w:val="0"/>
          <w:color w:val="66707C"/>
          <w:sz w:val="18"/>
        </w:rPr>
        <w:t>Bayantech Ltd  •  2026</w:t>
      </w:r>
    </w:p>
    <w:p>
      <w:pPr>
        <w:sectPr>
          <w:pgSz w:w="11906" w:h="16838"/>
          <w:pgMar w:top="1020" w:right="1134" w:bottom="1020" w:left="1134" w:header="369" w:footer="369" w:gutter="0"/>
          <w:cols w:space="720"/>
          <w:docGrid w:linePitch="360"/>
        </w:sectPr>
      </w:pPr>
    </w:p>
    <w:p>
      <w:pPr/>
      <w:r>
        <w:rPr>
          <w:b/>
          <w:color w:val="0B1626"/>
        </w:rPr>
        <w:t>Organisations are increasingly moving beyond isolated use of generative AI towards AI-enabled business processes, autonomous agents and redesigned operating models.</w:t>
      </w:r>
    </w:p>
    <w:p>
      <w:pPr/>
      <w:r>
        <w:t>The challenge is no longer simply whether an organisation is using AI. The more important question is whether it has the strategy, architecture, data, skills and controls needed to turn AI experimentation into measurable business value.</w:t>
      </w:r>
    </w:p>
    <w:p>
      <w:pPr/>
      <w:r>
        <w:t>This framework provides a practical way to assess that maturity.</w:t>
      </w:r>
    </w:p>
    <w:p>
      <w:pPr>
        <w:pStyle w:val="Heading2"/>
      </w:pPr>
      <w:r>
        <w:t>Six dimensions of AI maturity</w:t>
      </w:r>
    </w:p>
    <w:p>
      <w:pPr>
        <w:pStyle w:val="Heading3"/>
        <w:pageBreakBefore w:val="0"/>
        <w:pBdr>
          <w:left w:val="single" w:sz="18" w:space="8" w:color="B89555"/>
        </w:pBdr>
      </w:pPr>
      <w:r>
        <w:t>1. Strategy &amp; Business Value</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Does the organisation know where AI should create value?</w:t>
            </w:r>
          </w:p>
        </w:tc>
      </w:tr>
    </w:tbl>
    <w:p>
      <w:pPr>
        <w:spacing w:after="20"/>
      </w:pPr>
    </w:p>
    <w:p>
      <w:pPr/>
      <w:r>
        <w:t>Assessment areas include:</w:t>
      </w:r>
    </w:p>
    <w:p>
      <w:pPr>
        <w:pStyle w:val="ListBullet"/>
      </w:pPr>
      <w:r>
        <w:t>Clearly defined business problems and opportunities</w:t>
      </w:r>
    </w:p>
    <w:p>
      <w:pPr>
        <w:pStyle w:val="ListBullet"/>
      </w:pPr>
      <w:r>
        <w:t>Prioritised AI use cases</w:t>
      </w:r>
    </w:p>
    <w:p>
      <w:pPr>
        <w:pStyle w:val="ListBullet"/>
      </w:pPr>
      <w:r>
        <w:t>Executive sponsorship and ownership</w:t>
      </w:r>
    </w:p>
    <w:p>
      <w:pPr>
        <w:pStyle w:val="ListBullet"/>
      </w:pPr>
      <w:r>
        <w:t>Business cases and expected outcomes</w:t>
      </w:r>
    </w:p>
    <w:p>
      <w:pPr>
        <w:pStyle w:val="ListBullet"/>
      </w:pPr>
      <w:r>
        <w:t>Baseline measurements</w:t>
      </w:r>
    </w:p>
    <w:p>
      <w:pPr>
        <w:pStyle w:val="ListBullet"/>
      </w:pPr>
      <w:r>
        <w:t>AI investment linked to strategic objectives</w:t>
      </w:r>
    </w:p>
    <w:p>
      <w:pPr/>
      <w:r>
        <w:rPr>
          <w:b/>
          <w:color w:val="0B1626"/>
        </w:rPr>
        <w:t>Low-maturity organisations typically start with tools. Higher-maturity organisations start with business outcomes.</w:t>
      </w:r>
    </w:p>
    <w:p>
      <w:pPr>
        <w:pStyle w:val="Heading3"/>
        <w:pageBreakBefore w:val="0"/>
        <w:pBdr>
          <w:left w:val="single" w:sz="18" w:space="8" w:color="B89555"/>
        </w:pBdr>
      </w:pPr>
      <w:r>
        <w:t>2. Technology &amp; Architecture</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Is the technology environment capable of supporting reliable AI systems?</w:t>
            </w:r>
          </w:p>
        </w:tc>
      </w:tr>
    </w:tbl>
    <w:p>
      <w:pPr>
        <w:spacing w:after="20"/>
      </w:pPr>
    </w:p>
    <w:p>
      <w:pPr/>
      <w:r>
        <w:t>Assessment areas include:</w:t>
      </w:r>
    </w:p>
    <w:p>
      <w:pPr>
        <w:pStyle w:val="ListBullet"/>
      </w:pPr>
      <w:r>
        <w:t>Application and integration architecture</w:t>
      </w:r>
    </w:p>
    <w:p>
      <w:pPr>
        <w:pStyle w:val="ListBullet"/>
      </w:pPr>
      <w:r>
        <w:t>APIs and service boundaries</w:t>
      </w:r>
    </w:p>
    <w:p>
      <w:pPr>
        <w:pStyle w:val="ListBullet"/>
      </w:pPr>
      <w:r>
        <w:t>Cloud and infrastructure readiness</w:t>
      </w:r>
    </w:p>
    <w:p>
      <w:pPr>
        <w:pStyle w:val="ListBullet"/>
      </w:pPr>
      <w:r>
        <w:t>AI model and platform strategy</w:t>
      </w:r>
    </w:p>
    <w:p>
      <w:pPr>
        <w:pStyle w:val="ListBullet"/>
      </w:pPr>
      <w:r>
        <w:t>Agent orchestration</w:t>
      </w:r>
    </w:p>
    <w:p>
      <w:pPr>
        <w:pStyle w:val="ListBullet"/>
      </w:pPr>
      <w:r>
        <w:t>Observability and monitoring</w:t>
      </w:r>
    </w:p>
    <w:p>
      <w:pPr>
        <w:pStyle w:val="ListBullet"/>
      </w:pPr>
      <w:r>
        <w:t>Development and deployment environments</w:t>
      </w:r>
    </w:p>
    <w:p>
      <w:pPr>
        <w:pStyle w:val="ListBullet"/>
      </w:pPr>
      <w:r>
        <w:t>Ability to isolate and reverse AI actions</w:t>
      </w:r>
    </w:p>
    <w:p>
      <w:pPr/>
      <w:r>
        <w:rPr>
          <w:b/>
          <w:color w:val="0B1626"/>
        </w:rPr>
        <w:t>As implementation becomes easier, architecture and system boundaries become more important rather than less.</w:t>
      </w:r>
    </w:p>
    <w:p>
      <w:pPr>
        <w:pStyle w:val="Heading3"/>
        <w:pageBreakBefore w:val="0"/>
        <w:pBdr>
          <w:left w:val="single" w:sz="18" w:space="8" w:color="B89555"/>
        </w:pBdr>
      </w:pPr>
      <w:r>
        <w:t>3. Data &amp; Context</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Can AI systems reliably access the information they need?</w:t>
            </w:r>
          </w:p>
        </w:tc>
      </w:tr>
    </w:tbl>
    <w:p>
      <w:pPr>
        <w:spacing w:after="20"/>
      </w:pPr>
    </w:p>
    <w:p>
      <w:pPr/>
      <w:r>
        <w:t>Assessment areas include:</w:t>
      </w:r>
    </w:p>
    <w:p>
      <w:pPr>
        <w:pStyle w:val="ListBullet"/>
      </w:pPr>
      <w:r>
        <w:t>Data availability and quality</w:t>
      </w:r>
    </w:p>
    <w:p>
      <w:pPr>
        <w:pStyle w:val="ListBullet"/>
      </w:pPr>
      <w:r>
        <w:t>Ownership and classification</w:t>
      </w:r>
    </w:p>
    <w:p>
      <w:pPr>
        <w:pStyle w:val="ListBullet"/>
      </w:pPr>
      <w:r>
        <w:t>Knowledge repositories</w:t>
      </w:r>
    </w:p>
    <w:p>
      <w:pPr>
        <w:pStyle w:val="ListBullet"/>
      </w:pPr>
      <w:r>
        <w:t>Retrieval and context architecture</w:t>
      </w:r>
    </w:p>
    <w:p>
      <w:pPr>
        <w:pStyle w:val="ListBullet"/>
      </w:pPr>
      <w:r>
        <w:t>Documentation quality</w:t>
      </w:r>
    </w:p>
    <w:p>
      <w:pPr>
        <w:pStyle w:val="ListBullet"/>
      </w:pPr>
      <w:r>
        <w:t>Business rules and domain knowledge</w:t>
      </w:r>
    </w:p>
    <w:p>
      <w:pPr>
        <w:pStyle w:val="ListBullet"/>
      </w:pPr>
      <w:r>
        <w:t>Security and access controls</w:t>
      </w:r>
    </w:p>
    <w:p>
      <w:pPr>
        <w:pStyle w:val="ListBullet"/>
      </w:pPr>
      <w:r>
        <w:t>Data provenance</w:t>
      </w:r>
    </w:p>
    <w:p>
      <w:pPr/>
      <w:r>
        <w:rPr>
          <w:b/>
          <w:color w:val="0B1626"/>
        </w:rPr>
        <w:t>For agentic systems, context becomes a core infrastructure capability.</w:t>
      </w:r>
    </w:p>
    <w:p>
      <w:pPr>
        <w:pStyle w:val="Heading3"/>
        <w:pageBreakBefore w:val="0"/>
        <w:pBdr>
          <w:left w:val="single" w:sz="18" w:space="8" w:color="B89555"/>
        </w:pBdr>
      </w:pPr>
      <w:r>
        <w:t>4. People, Skills &amp; Organisation</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Can people use AI effectively while retaining judgement and accountability?</w:t>
            </w:r>
          </w:p>
        </w:tc>
      </w:tr>
    </w:tbl>
    <w:p>
      <w:pPr>
        <w:spacing w:after="20"/>
      </w:pPr>
    </w:p>
    <w:p>
      <w:pPr/>
      <w:r>
        <w:t>Assessment areas include:</w:t>
      </w:r>
    </w:p>
    <w:p>
      <w:pPr>
        <w:pStyle w:val="ListBullet"/>
      </w:pPr>
      <w:r>
        <w:t>AI literacy</w:t>
      </w:r>
    </w:p>
    <w:p>
      <w:pPr>
        <w:pStyle w:val="ListBullet"/>
      </w:pPr>
      <w:r>
        <w:t>Leadership capability</w:t>
      </w:r>
    </w:p>
    <w:p>
      <w:pPr>
        <w:pStyle w:val="ListBullet"/>
      </w:pPr>
      <w:r>
        <w:t>Engineering and technical skills</w:t>
      </w:r>
    </w:p>
    <w:p>
      <w:pPr>
        <w:pStyle w:val="ListBullet"/>
      </w:pPr>
      <w:r>
        <w:t>Business-domain expertise</w:t>
      </w:r>
    </w:p>
    <w:p>
      <w:pPr>
        <w:pStyle w:val="ListBullet"/>
      </w:pPr>
      <w:r>
        <w:t>Problem decomposition</w:t>
      </w:r>
    </w:p>
    <w:p>
      <w:pPr>
        <w:pStyle w:val="ListBullet"/>
      </w:pPr>
      <w:r>
        <w:t>Verification and review skills</w:t>
      </w:r>
    </w:p>
    <w:p>
      <w:pPr>
        <w:pStyle w:val="ListBullet"/>
      </w:pPr>
      <w:r>
        <w:t>Training and adoption</w:t>
      </w:r>
    </w:p>
    <w:p>
      <w:pPr>
        <w:pStyle w:val="ListBullet"/>
      </w:pPr>
      <w:r>
        <w:t>Changes to roles and team structures</w:t>
      </w:r>
    </w:p>
    <w:p>
      <w:pPr/>
      <w:r>
        <w:rPr>
          <w:b/>
          <w:color w:val="0B1626"/>
        </w:rPr>
        <w:t>AI tends to amplify existing capability. Experienced people with strong judgement can become substantially more productive, while weak processes and poor oversight become more visible.</w:t>
      </w:r>
    </w:p>
    <w:p>
      <w:pPr>
        <w:pStyle w:val="Heading3"/>
        <w:pageBreakBefore w:val="0"/>
        <w:pBdr>
          <w:left w:val="single" w:sz="18" w:space="8" w:color="B89555"/>
        </w:pBdr>
      </w:pPr>
      <w:r>
        <w:t>5. Governance, Security &amp; Risk</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Can the organisation increase AI autonomy without losing control?</w:t>
            </w:r>
          </w:p>
        </w:tc>
      </w:tr>
    </w:tbl>
    <w:p>
      <w:pPr>
        <w:spacing w:after="20"/>
      </w:pPr>
    </w:p>
    <w:p>
      <w:pPr/>
      <w:r>
        <w:t>Assessment areas include:</w:t>
      </w:r>
    </w:p>
    <w:p>
      <w:pPr>
        <w:pStyle w:val="ListBullet"/>
      </w:pPr>
      <w:r>
        <w:t>Approved AI tools and models</w:t>
      </w:r>
    </w:p>
    <w:p>
      <w:pPr>
        <w:pStyle w:val="ListBullet"/>
      </w:pPr>
      <w:r>
        <w:t>Data privacy</w:t>
      </w:r>
    </w:p>
    <w:p>
      <w:pPr>
        <w:pStyle w:val="ListBullet"/>
      </w:pPr>
      <w:r>
        <w:t>Cybersecurity</w:t>
      </w:r>
    </w:p>
    <w:p>
      <w:pPr>
        <w:pStyle w:val="ListBullet"/>
      </w:pPr>
      <w:r>
        <w:t>Intellectual property</w:t>
      </w:r>
    </w:p>
    <w:p>
      <w:pPr>
        <w:pStyle w:val="ListBullet"/>
      </w:pPr>
      <w:r>
        <w:t>Identity and permissions</w:t>
      </w:r>
    </w:p>
    <w:p>
      <w:pPr>
        <w:pStyle w:val="ListBullet"/>
      </w:pPr>
      <w:r>
        <w:t>Human approval requirements</w:t>
      </w:r>
    </w:p>
    <w:p>
      <w:pPr>
        <w:pStyle w:val="ListBullet"/>
      </w:pPr>
      <w:r>
        <w:t>Regulatory considerations</w:t>
      </w:r>
    </w:p>
    <w:p>
      <w:pPr>
        <w:pStyle w:val="ListBullet"/>
      </w:pPr>
      <w:r>
        <w:t>Auditability</w:t>
      </w:r>
    </w:p>
    <w:p>
      <w:pPr>
        <w:pStyle w:val="ListBullet"/>
      </w:pPr>
      <w:r>
        <w:t>Incident response</w:t>
      </w:r>
    </w:p>
    <w:p>
      <w:pPr>
        <w:pStyle w:val="ListBullet"/>
      </w:pPr>
      <w:r>
        <w:t>Accountability for AI-generated decisions and actions</w:t>
      </w:r>
    </w:p>
    <w:p>
      <w:pPr/>
      <w:r>
        <w:rPr>
          <w:b/>
          <w:color w:val="0B1626"/>
        </w:rPr>
        <w:t>The objective is not maximum autonomy. It is the highest useful level of autonomy consistent with risk, reversibility and accountability.</w:t>
      </w:r>
    </w:p>
    <w:p>
      <w:pPr>
        <w:pStyle w:val="Heading3"/>
        <w:pageBreakBefore w:val="0"/>
        <w:pBdr>
          <w:left w:val="single" w:sz="18" w:space="8" w:color="B89555"/>
        </w:pBdr>
      </w:pPr>
      <w:r>
        <w:t>6. Operating Model &amp; Delivery</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KEY QUESTION</w:t>
              <w:br/>
            </w:r>
            <w:r>
              <w:rPr>
                <w:rFonts w:ascii="Arial" w:hAnsi="Arial" w:eastAsia="Arial"/>
                <w:b/>
                <w:color w:val="0B1626"/>
                <w:sz w:val="22"/>
              </w:rPr>
              <w:t>Has AI become part of how work is actually performed?</w:t>
            </w:r>
          </w:p>
        </w:tc>
      </w:tr>
    </w:tbl>
    <w:p>
      <w:pPr>
        <w:spacing w:after="20"/>
      </w:pPr>
    </w:p>
    <w:p>
      <w:pPr/>
      <w:r>
        <w:t>Assessment areas include:</w:t>
      </w:r>
    </w:p>
    <w:p>
      <w:pPr>
        <w:pStyle w:val="ListBullet"/>
      </w:pPr>
      <w:r>
        <w:t>AI embedded in workflows rather than used as an isolated tool</w:t>
      </w:r>
    </w:p>
    <w:p>
      <w:pPr>
        <w:pStyle w:val="ListBullet"/>
      </w:pPr>
      <w:r>
        <w:t>Human–AI division of responsibility</w:t>
      </w:r>
    </w:p>
    <w:p>
      <w:pPr>
        <w:pStyle w:val="ListBullet"/>
      </w:pPr>
      <w:r>
        <w:t>Repeatable agent workflows</w:t>
      </w:r>
    </w:p>
    <w:p>
      <w:pPr>
        <w:pStyle w:val="ListBullet"/>
      </w:pPr>
      <w:r>
        <w:t>Testing and verification</w:t>
      </w:r>
    </w:p>
    <w:p>
      <w:pPr>
        <w:pStyle w:val="ListBullet"/>
      </w:pPr>
      <w:r>
        <w:t>Approval gates</w:t>
      </w:r>
    </w:p>
    <w:p>
      <w:pPr>
        <w:pStyle w:val="ListBullet"/>
      </w:pPr>
      <w:r>
        <w:t>Performance measurement</w:t>
      </w:r>
    </w:p>
    <w:p>
      <w:pPr>
        <w:pStyle w:val="ListBullet"/>
      </w:pPr>
      <w:r>
        <w:t>Cost monitoring</w:t>
      </w:r>
    </w:p>
    <w:p>
      <w:pPr>
        <w:pStyle w:val="ListBullet"/>
      </w:pPr>
      <w:r>
        <w:t>Continuous improvement</w:t>
      </w:r>
    </w:p>
    <w:p>
      <w:pPr>
        <w:pStyle w:val="ListBullet"/>
      </w:pPr>
      <w:r>
        <w:t>Organisation-wide learning</w:t>
      </w:r>
    </w:p>
    <w:p>
      <w:pPr/>
      <w:r>
        <w:rPr>
          <w:b/>
          <w:color w:val="0B1626"/>
        </w:rPr>
        <w:t>Successful AI adoption ultimately requires operating-model change, not simply technology deployment.</w:t>
      </w:r>
    </w:p>
    <w:p>
      <w:pPr>
        <w:pStyle w:val="Heading1"/>
      </w:pPr>
      <w:r>
        <w:t>Five maturity levels</w:t>
      </w:r>
    </w:p>
    <w:p>
      <w:pPr>
        <w:pStyle w:val="Heading2"/>
      </w:pPr>
      <w:r>
        <w:t>Level 1 — Experimenting</w:t>
      </w:r>
    </w:p>
    <w:p>
      <w:pPr/>
      <w:r>
        <w:rPr>
          <w:b/>
          <w:color w:val="0B1626"/>
        </w:rPr>
        <w:t>Individuals are independently testing AI tools.</w:t>
      </w:r>
    </w:p>
    <w:p>
      <w:pPr/>
      <w:r>
        <w:t>Typical characteristics:</w:t>
      </w:r>
    </w:p>
    <w:p>
      <w:pPr>
        <w:pStyle w:val="ListBullet"/>
      </w:pPr>
      <w:r>
        <w:t>Ad hoc use</w:t>
      </w:r>
    </w:p>
    <w:p>
      <w:pPr>
        <w:pStyle w:val="ListBullet"/>
      </w:pPr>
      <w:r>
        <w:t>Limited governance</w:t>
      </w:r>
    </w:p>
    <w:p>
      <w:pPr>
        <w:pStyle w:val="ListBullet"/>
      </w:pPr>
      <w:r>
        <w:t>No agreed business case</w:t>
      </w:r>
    </w:p>
    <w:p>
      <w:pPr>
        <w:pStyle w:val="ListBullet"/>
      </w:pPr>
      <w:r>
        <w:t>Little measurement</w:t>
      </w:r>
    </w:p>
    <w:p>
      <w:pPr>
        <w:pStyle w:val="ListBullet"/>
      </w:pPr>
      <w:r>
        <w:t>AI largely used for productivity assistance</w:t>
      </w:r>
    </w:p>
    <w:p>
      <w:pPr/>
      <w:r>
        <w:rPr>
          <w:b/>
          <w:color w:val="0B1626"/>
        </w:rPr>
        <w:t>Primary objective: Understand opportunity and risk.</w:t>
      </w:r>
    </w:p>
    <w:p>
      <w:pPr>
        <w:pStyle w:val="Heading2"/>
      </w:pPr>
      <w:r>
        <w:t>Level 2 — Assisted</w:t>
      </w:r>
    </w:p>
    <w:p>
      <w:pPr/>
      <w:r>
        <w:rPr>
          <w:b/>
          <w:color w:val="0B1626"/>
        </w:rPr>
        <w:t>AI is being deliberately used within selected teams and processes.</w:t>
      </w:r>
    </w:p>
    <w:p>
      <w:pPr/>
      <w:r>
        <w:t>Typical characteristics:</w:t>
      </w:r>
    </w:p>
    <w:p>
      <w:pPr>
        <w:pStyle w:val="ListBullet"/>
      </w:pPr>
      <w:r>
        <w:t>Approved tools</w:t>
      </w:r>
    </w:p>
    <w:p>
      <w:pPr>
        <w:pStyle w:val="ListBullet"/>
      </w:pPr>
      <w:r>
        <w:t>Defined use cases</w:t>
      </w:r>
    </w:p>
    <w:p>
      <w:pPr>
        <w:pStyle w:val="ListBullet"/>
      </w:pPr>
      <w:r>
        <w:t>Human-led workflows</w:t>
      </w:r>
    </w:p>
    <w:p>
      <w:pPr>
        <w:pStyle w:val="ListBullet"/>
      </w:pPr>
      <w:r>
        <w:t>Early productivity gains</w:t>
      </w:r>
    </w:p>
    <w:p>
      <w:pPr>
        <w:pStyle w:val="ListBullet"/>
      </w:pPr>
      <w:r>
        <w:t>Initial policies and controls</w:t>
      </w:r>
    </w:p>
    <w:p>
      <w:pPr/>
      <w:r>
        <w:rPr>
          <w:b/>
          <w:color w:val="0B1626"/>
        </w:rPr>
        <w:t>Primary objective: Establish repeatable value.</w:t>
      </w:r>
    </w:p>
    <w:p>
      <w:pPr>
        <w:pStyle w:val="Heading2"/>
      </w:pPr>
      <w:r>
        <w:t>Level 3 — Integrated</w:t>
      </w:r>
    </w:p>
    <w:p>
      <w:pPr/>
      <w:r>
        <w:rPr>
          <w:b/>
          <w:color w:val="0B1626"/>
        </w:rPr>
        <w:t>AI is incorporated into operational and technology workflows.</w:t>
      </w:r>
    </w:p>
    <w:p>
      <w:pPr/>
      <w:r>
        <w:t>Typical characteristics:</w:t>
      </w:r>
    </w:p>
    <w:p>
      <w:pPr>
        <w:pStyle w:val="ListBullet"/>
      </w:pPr>
      <w:r>
        <w:t>Integration with systems and enterprise data</w:t>
      </w:r>
    </w:p>
    <w:p>
      <w:pPr>
        <w:pStyle w:val="ListBullet"/>
      </w:pPr>
      <w:r>
        <w:t>Defined architecture</w:t>
      </w:r>
    </w:p>
    <w:p>
      <w:pPr>
        <w:pStyle w:val="ListBullet"/>
      </w:pPr>
      <w:r>
        <w:t>Measured outcomes</w:t>
      </w:r>
    </w:p>
    <w:p>
      <w:pPr>
        <w:pStyle w:val="ListBullet"/>
      </w:pPr>
      <w:r>
        <w:t>Automated testing and controls</w:t>
      </w:r>
    </w:p>
    <w:p>
      <w:pPr>
        <w:pStyle w:val="ListBullet"/>
      </w:pPr>
      <w:r>
        <w:t>Human accountability clearly established</w:t>
      </w:r>
    </w:p>
    <w:p>
      <w:pPr/>
      <w:r>
        <w:rPr>
          <w:b/>
          <w:color w:val="0B1626"/>
        </w:rPr>
        <w:t>Primary objective: Move from individual productivity to organisational productivity.</w:t>
      </w:r>
    </w:p>
    <w:p>
      <w:pPr>
        <w:pStyle w:val="Heading2"/>
      </w:pPr>
      <w:r>
        <w:t>Level 4 — Agentic</w:t>
      </w:r>
    </w:p>
    <w:p>
      <w:pPr/>
      <w:r>
        <w:rPr>
          <w:b/>
          <w:color w:val="0B1626"/>
        </w:rPr>
        <w:t>AI systems perform bounded work with increasing autonomy.</w:t>
      </w:r>
    </w:p>
    <w:p>
      <w:pPr/>
      <w:r>
        <w:t>Typical characteristics:</w:t>
      </w:r>
    </w:p>
    <w:p>
      <w:pPr>
        <w:pStyle w:val="ListBullet"/>
      </w:pPr>
      <w:r>
        <w:t>Agents execute multi-step tasks</w:t>
      </w:r>
    </w:p>
    <w:p>
      <w:pPr>
        <w:pStyle w:val="ListBullet"/>
      </w:pPr>
      <w:r>
        <w:t>Tools and enterprise systems can be accessed programmatically</w:t>
      </w:r>
    </w:p>
    <w:p>
      <w:pPr>
        <w:pStyle w:val="ListBullet"/>
      </w:pPr>
      <w:r>
        <w:t>Work is constrained by permissions and policy</w:t>
      </w:r>
    </w:p>
    <w:p>
      <w:pPr>
        <w:pStyle w:val="ListBullet"/>
      </w:pPr>
      <w:r>
        <w:t>Human approval occurs at defined control points</w:t>
      </w:r>
    </w:p>
    <w:p>
      <w:pPr>
        <w:pStyle w:val="ListBullet"/>
      </w:pPr>
      <w:r>
        <w:t>Agent activity is observable and auditable</w:t>
      </w:r>
    </w:p>
    <w:p>
      <w:pPr/>
      <w:r>
        <w:rPr>
          <w:b/>
          <w:color w:val="0B1626"/>
        </w:rPr>
        <w:t>Primary objective: Safely delegate execution.</w:t>
      </w:r>
    </w:p>
    <w:p>
      <w:pPr>
        <w:pStyle w:val="Heading2"/>
      </w:pPr>
      <w:r>
        <w:t>Level 5 — AI-Native</w:t>
      </w:r>
    </w:p>
    <w:p>
      <w:pPr/>
      <w:r>
        <w:rPr>
          <w:b/>
          <w:color w:val="0B1626"/>
        </w:rPr>
        <w:t>AI is embedded within the organisation’s operating model.</w:t>
      </w:r>
    </w:p>
    <w:p>
      <w:pPr/>
      <w:r>
        <w:t>Typical characteristics:</w:t>
      </w:r>
    </w:p>
    <w:p>
      <w:pPr>
        <w:pStyle w:val="ListBullet"/>
      </w:pPr>
      <w:r>
        <w:t>Human and AI roles are deliberately designed together</w:t>
      </w:r>
    </w:p>
    <w:p>
      <w:pPr>
        <w:pStyle w:val="ListBullet"/>
      </w:pPr>
      <w:r>
        <w:t>Multiple agents coordinate work</w:t>
      </w:r>
    </w:p>
    <w:p>
      <w:pPr>
        <w:pStyle w:val="ListBullet"/>
      </w:pPr>
      <w:r>
        <w:t>Context, policy and evaluation are shared infrastructure</w:t>
      </w:r>
    </w:p>
    <w:p>
      <w:pPr>
        <w:pStyle w:val="ListBullet"/>
      </w:pPr>
      <w:r>
        <w:t>AI performance and economics are continuously measured</w:t>
      </w:r>
    </w:p>
    <w:p>
      <w:pPr>
        <w:pStyle w:val="ListBullet"/>
      </w:pPr>
      <w:r>
        <w:t>Governance is built into workflows</w:t>
      </w:r>
    </w:p>
    <w:p>
      <w:pPr>
        <w:pStyle w:val="ListBullet"/>
      </w:pPr>
      <w:r>
        <w:t>Processes are redesigned around AI capability rather than merely automated</w:t>
      </w:r>
    </w:p>
    <w:p>
      <w:pPr/>
      <w:r>
        <w:rPr>
          <w:b/>
          <w:color w:val="0B1626"/>
        </w:rPr>
        <w:t>Primary objective: Continuously optimise the human–AI operating model.</w:t>
      </w:r>
    </w:p>
    <w:p>
      <w:pPr>
        <w:pStyle w:val="Heading1"/>
      </w:pPr>
      <w:r>
        <w:t>Assessment output</w:t>
      </w:r>
    </w:p>
    <w:p>
      <w:pPr/>
      <w:r>
        <w:rPr>
          <w:b/>
          <w:color w:val="0B1626"/>
        </w:rPr>
        <w:t>A maturity assessment should result in more than a maturity score.</w:t>
      </w:r>
    </w:p>
    <w:p>
      <w:pPr/>
      <w:r>
        <w:t>The output should identify:</w:t>
      </w:r>
    </w:p>
    <w:p>
      <w:pPr>
        <w:pStyle w:val="ListBullet"/>
      </w:pPr>
      <w:r>
        <w:t>Current maturity by dimension</w:t>
      </w:r>
    </w:p>
    <w:p>
      <w:pPr>
        <w:pStyle w:val="ListBullet"/>
      </w:pPr>
      <w:r>
        <w:t>Target maturity based on business objectives</w:t>
      </w:r>
    </w:p>
    <w:p>
      <w:pPr>
        <w:pStyle w:val="ListBullet"/>
      </w:pPr>
      <w:r>
        <w:t>Priority AI opportunities</w:t>
      </w:r>
    </w:p>
    <w:p>
      <w:pPr>
        <w:pStyle w:val="ListBullet"/>
      </w:pPr>
      <w:r>
        <w:t>Capability and control gaps</w:t>
      </w:r>
    </w:p>
    <w:p>
      <w:pPr>
        <w:pStyle w:val="ListBullet"/>
      </w:pPr>
      <w:r>
        <w:t>Quick wins</w:t>
      </w:r>
    </w:p>
    <w:p>
      <w:pPr>
        <w:pStyle w:val="ListBullet"/>
      </w:pPr>
      <w:r>
        <w:t>Strategic initiatives</w:t>
      </w:r>
    </w:p>
    <w:p>
      <w:pPr>
        <w:pStyle w:val="ListBullet"/>
      </w:pPr>
      <w:r>
        <w:t>Investment requirements</w:t>
      </w:r>
    </w:p>
    <w:p>
      <w:pPr>
        <w:pStyle w:val="ListBullet"/>
      </w:pPr>
      <w:r>
        <w:t>Risks and dependencies</w:t>
      </w:r>
    </w:p>
    <w:p>
      <w:pPr>
        <w:pStyle w:val="ListBullet"/>
      </w:pPr>
      <w:r>
        <w:t>A 90-day action plan</w:t>
      </w:r>
    </w:p>
    <w:p>
      <w:pPr>
        <w:pStyle w:val="Heading2"/>
      </w:pPr>
      <w:r>
        <w:t>Recommended initial engagement</w:t>
      </w:r>
    </w:p>
    <w:p>
      <w:pPr/>
      <w:r>
        <w:rPr>
          <w:b/>
          <w:color w:val="0B1626"/>
        </w:rPr>
        <w:t>A practical maturity assessment can normally begin with:</w:t>
      </w:r>
    </w:p>
    <w:tbl>
      <w:tblPr>
        <w:tblW w:type="dxa" w:w="9638"/>
        <w:tblLayout w:type="fixed"/>
        <w:tblLook w:firstColumn="1" w:firstRow="1" w:lastColumn="0" w:lastRow="0" w:noHBand="0" w:noVBand="1" w:val="04A0"/>
        <w:tblInd w:w="0" w:type="dxa"/>
        <w:tblBorders>
          <w:top w:val="single" w:sz="5" w:color="A7AFBA"/>
          <w:left w:val="single" w:sz="5" w:color="A7AFBA"/>
          <w:bottom w:val="single" w:sz="5" w:color="A7AFBA"/>
          <w:right w:val="single" w:sz="5" w:color="A7AFBA"/>
        </w:tblBorders>
      </w:tblPr>
      <w:tblGrid>
        <w:gridCol w:w="9638"/>
      </w:tblGrid>
      <w:tr>
        <w:tc>
          <w:tcPr>
            <w:tcW w:type="dxa" w:w="9638"/>
            <w:shd w:fill="F1F2F4"/>
            <w:tcMar>
              <w:top w:w="150" w:type="dxa"/>
              <w:start w:w="230" w:type="dxa"/>
              <w:bottom w:w="150" w:type="dxa"/>
              <w:end w:w="230" w:type="dxa"/>
            </w:tcMar>
          </w:tcPr>
          <w:p>
            <w:pPr>
              <w:spacing w:after="0" w:line="276" w:lineRule="auto"/>
            </w:pPr>
            <w:r>
              <w:rPr>
                <w:rFonts w:ascii="Arial" w:hAnsi="Arial" w:eastAsia="Arial"/>
                <w:b/>
                <w:color w:val="B89555"/>
                <w:sz w:val="16"/>
              </w:rPr>
              <w:t>DELIVERY PATHWAY</w:t>
              <w:br/>
            </w:r>
            <w:r>
              <w:rPr>
                <w:rFonts w:ascii="Arial" w:hAnsi="Arial" w:eastAsia="Arial"/>
                <w:b/>
                <w:color w:val="0B1626"/>
                <w:sz w:val="22"/>
              </w:rPr>
              <w:t>Discover → Assess → Prioritise → Roadmap</w:t>
            </w:r>
          </w:p>
        </w:tc>
      </w:tr>
    </w:tbl>
    <w:p>
      <w:pPr>
        <w:spacing w:after="20"/>
      </w:pPr>
    </w:p>
    <w:p>
      <w:pPr/>
      <w:r>
        <w:t>The result is a clear answer to four executive questions:</w:t>
      </w:r>
    </w:p>
    <w:p>
      <w:pPr/>
      <w:r>
        <w:t>Where are we now?</w:t>
      </w:r>
    </w:p>
    <w:p>
      <w:pPr/>
      <w:r>
        <w:t>Where can AI genuinely create value?</w:t>
      </w:r>
    </w:p>
    <w:p>
      <w:pPr/>
      <w:r>
        <w:t>What prevents us getting there?</w:t>
      </w:r>
    </w:p>
    <w:p>
      <w:pPr/>
      <w:r>
        <w:t>What should we do next?</w:t>
      </w:r>
    </w:p>
    <w:p/>
    <w:tbl>
      <w:tblPr>
        <w:tblW w:type="dxa" w:w="9638"/>
        <w:tblLayout w:type="fixed"/>
        <w:tblLook w:firstColumn="1" w:firstRow="1" w:lastColumn="0" w:lastRow="0" w:noHBand="0" w:noVBand="1" w:val="04A0"/>
        <w:tblInd w:w="0" w:type="dxa"/>
        <w:tblBorders>
          <w:top w:val="single" w:sz="0" w:color="0B1626"/>
          <w:left w:val="single" w:sz="0" w:color="0B1626"/>
          <w:bottom w:val="single" w:sz="0" w:color="0B1626"/>
          <w:right w:val="single" w:sz="0" w:color="0B1626"/>
        </w:tblBorders>
      </w:tblPr>
      <w:tblGrid>
        <w:gridCol w:w="9638"/>
      </w:tblGrid>
      <w:tr>
        <w:tc>
          <w:tcPr>
            <w:tcW w:type="dxa" w:w="9638"/>
            <w:shd w:fill="0B1626"/>
            <w:tcMar>
              <w:top w:w="210" w:type="dxa"/>
              <w:start w:w="260" w:type="dxa"/>
              <w:bottom w:w="210" w:type="dxa"/>
              <w:end w:w="260" w:type="dxa"/>
            </w:tcMar>
          </w:tcPr>
          <w:p>
            <w:r>
              <w:rPr>
                <w:rFonts w:ascii="Arial" w:hAnsi="Arial" w:eastAsia="Arial"/>
                <w:b/>
                <w:color w:val="B89555"/>
                <w:sz w:val="18"/>
              </w:rPr>
              <w:t>DISCUSS A BUSINESS PROBLEM</w:t>
            </w:r>
          </w:p>
          <w:p>
            <w:pPr>
              <w:spacing w:after="0"/>
            </w:pPr>
            <w:r>
              <w:rPr>
                <w:rFonts w:ascii="Arial" w:hAnsi="Arial" w:eastAsia="Arial"/>
                <w:b/>
                <w:color w:val="FFFFFF"/>
                <w:sz w:val="28"/>
              </w:rPr>
              <w:t>www.bayantech.co.uk</w:t>
            </w:r>
          </w:p>
        </w:tc>
      </w:tr>
    </w:tbl>
    <w:sectPr w:rsidR="00FC693F" w:rsidRPr="0006063C" w:rsidSect="00034616">
      <w:headerReference w:type="default" r:id="rId10"/>
      <w:footerReference w:type="default" r:id="rId11"/>
      <w:headerReference w:type="even" r:id="rId12"/>
      <w:pgSz w:w="11906" w:h="16838"/>
      <w:pgMar w:top="1020" w:right="1134" w:bottom="1020" w:left="1134"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638"/>
      <w:tblLayout w:type="fixed"/>
      <w:tblLook w:firstColumn="1" w:firstRow="1" w:lastColumn="0" w:lastRow="0" w:noHBand="0" w:noVBand="1" w:val="04A0"/>
      <w:tblInd w:w="0" w:type="dxa"/>
    </w:tblPr>
    <w:tblGrid>
      <w:gridCol w:w="7654"/>
      <w:gridCol w:w="1984"/>
    </w:tblGrid>
    <w:tr>
      <w:tc>
        <w:tcPr>
          <w:tcW w:type="dxa" w:w="4819"/>
          <w:tcMar>
            <w:top w:w="0" w:type="dxa"/>
            <w:start w:w="0" w:type="dxa"/>
            <w:bottom w:w="0" w:type="dxa"/>
            <w:end w:w="0" w:type="dxa"/>
          </w:tcMar>
        </w:tcPr>
        <w:p>
          <w:r>
            <w:rPr>
              <w:rFonts w:ascii="Arial" w:hAnsi="Arial" w:eastAsia="Arial"/>
              <w:b w:val="0"/>
              <w:color w:val="66707C"/>
              <w:sz w:val="14"/>
            </w:rPr>
            <w:t>BAYANTECH  •  PRACTICAL AI. REAL-WORLD IMPACT.  •  WWW.BAYANTECH.CO.UK</w:t>
          </w:r>
        </w:p>
      </w:tc>
      <w:tc>
        <w:tcPr>
          <w:tcW w:type="dxa" w:w="4819"/>
          <w:tcMar>
            <w:top w:w="0" w:type="dxa"/>
            <w:start w:w="0" w:type="dxa"/>
            <w:bottom w:w="0" w:type="dxa"/>
            <w:end w:w="0" w:type="dxa"/>
          </w:tcMar>
        </w:tcPr>
        <w:p>
          <w:pPr>
            <w:jc w:val="right"/>
          </w:pPr>
          <w:r>
            <w:rPr>
              <w:rFonts w:ascii="Arial" w:hAnsi="Arial"/>
              <w:color w:val="66707C"/>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6" w:color="A7AFBA"/>
      </w:pBdr>
    </w:pPr>
    <w:r>
      <w:rPr>
        <w:rFonts w:ascii="Arial" w:hAnsi="Arial" w:eastAsia="Arial"/>
        <w:b/>
        <w:color w:val="0B1626"/>
        <w:sz w:val="18"/>
      </w:rPr>
      <w:t>BAYANTECH</w:t>
    </w:r>
    <w:r>
      <w:rPr>
        <w:rFonts w:ascii="Arial" w:hAnsi="Arial" w:eastAsia="Arial"/>
        <w:b/>
        <w:color w:val="B89555"/>
        <w:sz w:val="16"/>
      </w:rPr>
      <w:t xml:space="preserve">  •  </w:t>
    </w:r>
    <w:r>
      <w:rPr>
        <w:rFonts w:ascii="Arial" w:hAnsi="Arial" w:eastAsia="Arial"/>
        <w:b w:val="0"/>
        <w:color w:val="66707C"/>
        <w:sz w:val="15"/>
      </w:rPr>
      <w:t>AI MATURITY FRAMEWORK</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6" w:color="A7AFBA"/>
      </w:pBdr>
    </w:pPr>
    <w:r>
      <w:rPr>
        <w:rFonts w:ascii="Arial" w:hAnsi="Arial" w:eastAsia="Arial"/>
        <w:b/>
        <w:color w:val="0B1626"/>
        <w:sz w:val="18"/>
      </w:rPr>
      <w:t>BAYANTECH</w:t>
    </w:r>
    <w:r>
      <w:rPr>
        <w:rFonts w:ascii="Arial" w:hAnsi="Arial" w:eastAsia="Arial"/>
        <w:b/>
        <w:color w:val="B89555"/>
        <w:sz w:val="16"/>
      </w:rPr>
      <w:t xml:space="preserve">  •  </w:t>
    </w:r>
    <w:r>
      <w:rPr>
        <w:rFonts w:ascii="Arial" w:hAnsi="Arial" w:eastAsia="Arial"/>
        <w:b w:val="0"/>
        <w:color w:val="66707C"/>
        <w:sz w:val="15"/>
      </w:rPr>
      <w:t>AI MATURITY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Arial"/>
      <w:color w:val="2027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rial" w:hAnsi="Arial" w:eastAsia="Arial"/>
      <w:b/>
      <w:bCs/>
      <w:color w:val="0B1626"/>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B89555"/>
      <w:sz w:val="30"/>
      <w:szCs w:val="26"/>
    </w:rPr>
  </w:style>
  <w:style w:type="paragraph" w:styleId="Heading3">
    <w:name w:val="heading 3"/>
    <w:basedOn w:val="Normal"/>
    <w:next w:val="Normal"/>
    <w:link w:val="Heading3Char"/>
    <w:uiPriority w:val="9"/>
    <w:unhideWhenUsed/>
    <w:qFormat/>
    <w:rsid w:val="00FC693F"/>
    <w:pPr>
      <w:keepNext/>
      <w:keepLines/>
      <w:spacing w:before="300" w:after="120"/>
      <w:outlineLvl w:val="2"/>
    </w:pPr>
    <w:rPr>
      <w:rFonts w:asciiTheme="majorHAnsi" w:eastAsiaTheme="majorEastAsia" w:hAnsiTheme="majorHAnsi" w:cstheme="majorBidi" w:ascii="Arial" w:hAnsi="Arial" w:eastAsia="Arial"/>
      <w:b/>
      <w:bCs/>
      <w:color w:val="0B162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eastAsia="Arial"/>
      <w:b/>
      <w:color w:val="0B1626"/>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rial" w:hAnsi="Arial" w:eastAsia="Arial"/>
      <w:b/>
      <w:i/>
      <w:iCs/>
      <w:color w:val="66707C"/>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ind w:left="369" w:hanging="181"/>
      <w:contextualSpacing/>
    </w:pPr>
    <w:rPr>
      <w:rFonts w:ascii="Arial" w:hAnsi="Arial"/>
      <w:color w:val="202732"/>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ind w:left="369" w:hanging="181"/>
      <w:contextualSpacing/>
    </w:pPr>
    <w:rPr>
      <w:rFonts w:ascii="Arial" w:hAnsi="Arial"/>
      <w:color w:val="202732"/>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Framework</dc:subject>
  <dc:creator>Bayantech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