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560"/>
      </w:pPr>
      <w:r>
        <w:drawing>
          <wp:inline xmlns:a="http://schemas.openxmlformats.org/drawingml/2006/main" xmlns:pic="http://schemas.openxmlformats.org/drawingml/2006/picture">
            <wp:extent cx="2232000" cy="55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ayantech_Logo_Concept_01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232000" cy="558000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dxa" w:w="9638"/>
        <w:tblLayout w:type="fixed"/>
        <w:tblLook w:firstColumn="1" w:firstRow="1" w:lastColumn="0" w:lastRow="0" w:noHBand="0" w:noVBand="1" w:val="04A0"/>
        <w:tblInd w:w="0" w:type="dxa"/>
        <w:tblBorders>
          <w:top w:val="single" w:sz="0" w:color="0B1626"/>
          <w:left w:val="single" w:sz="0" w:color="0B1626"/>
          <w:bottom w:val="single" w:sz="0" w:color="0B1626"/>
          <w:right w:val="single" w:sz="0" w:color="0B1626"/>
        </w:tblBorders>
      </w:tblPr>
      <w:tblGrid>
        <w:gridCol w:w="9638"/>
      </w:tblGrid>
      <w:tr>
        <w:tc>
          <w:tcPr>
            <w:tcW w:type="dxa" w:w="9638"/>
            <w:shd w:fill="0B1626"/>
            <w:tcMar>
              <w:top w:w="620" w:type="dxa"/>
              <w:start w:w="600" w:type="dxa"/>
              <w:bottom w:w="650" w:type="dxa"/>
              <w:end w:w="600" w:type="dxa"/>
            </w:tcMar>
            <w:vAlign w:val="center"/>
          </w:tcPr>
          <w:p>
            <w:pPr>
              <w:spacing w:after="400"/>
            </w:pPr>
            <w:r>
              <w:rPr>
                <w:rFonts w:ascii="Arial" w:hAnsi="Arial" w:eastAsia="Arial"/>
                <w:b/>
                <w:color w:val="B89555"/>
                <w:sz w:val="18"/>
              </w:rPr>
              <w:t>CASE STUDY</w:t>
            </w:r>
          </w:p>
          <w:p>
            <w:pPr>
              <w:spacing w:after="320" w:line="240" w:lineRule="auto"/>
            </w:pPr>
            <w:r>
              <w:rPr>
                <w:rFonts w:ascii="Arial" w:hAnsi="Arial" w:eastAsia="Arial"/>
                <w:b/>
                <w:color w:val="FFFFFF"/>
                <w:sz w:val="54"/>
              </w:rPr>
              <w:t>TECHNOLOGY, RISK AND OPERATING TRANSFORMATION IN REGULATED FINANCIAL SERVICES</w:t>
            </w:r>
          </w:p>
          <w:p>
            <w:r>
              <w:rPr>
                <w:rFonts w:ascii="Arial" w:hAnsi="Arial" w:eastAsia="Arial"/>
                <w:b/>
                <w:color w:val="A7AFBA"/>
                <w:sz w:val="18"/>
              </w:rPr>
              <w:t>FROM AI POSSIBILITY TO PRODUCTION</w:t>
            </w:r>
          </w:p>
        </w:tc>
      </w:tr>
    </w:tbl>
    <w:p>
      <w:pPr>
        <w:spacing w:before="480"/>
      </w:pPr>
      <w:r>
        <w:rPr>
          <w:rFonts w:ascii="Arial" w:hAnsi="Arial" w:eastAsia="Arial"/>
          <w:b/>
          <w:color w:val="0B1626"/>
          <w:sz w:val="22"/>
        </w:rPr>
        <w:t>Senior technology leadership with hands-on delivery.</w:t>
      </w:r>
    </w:p>
    <w:p>
      <w:r>
        <w:rPr>
          <w:rFonts w:ascii="Arial" w:hAnsi="Arial" w:eastAsia="Arial"/>
          <w:b w:val="0"/>
          <w:color w:val="66707C"/>
          <w:sz w:val="18"/>
        </w:rPr>
        <w:t>Bayantech Ltd  •  2026</w:t>
      </w:r>
    </w:p>
    <w:p>
      <w:pPr>
        <w:sectPr>
          <w:pgSz w:w="11906" w:h="16838"/>
          <w:pgMar w:top="1020" w:right="1134" w:bottom="1020" w:left="1134" w:header="369" w:footer="369" w:gutter="0"/>
          <w:cols w:space="720"/>
          <w:docGrid w:linePitch="360"/>
        </w:sectPr>
      </w:pPr>
    </w:p>
    <w:p>
      <w:pPr>
        <w:pStyle w:val="Heading3"/>
        <w:pBdr>
          <w:left w:val="single" w:sz="18" w:space="8" w:color="B89555"/>
        </w:pBdr>
      </w:pPr>
      <w:r>
        <w:t>Challenge</w:t>
      </w:r>
    </w:p>
    <w:p>
      <w:pPr/>
      <w:r>
        <w:rPr>
          <w:b/>
          <w:color w:val="0B1626"/>
        </w:rPr>
        <w:t>A UK financial-services business operating in a regulated environment was dealing with interconnected technology, operational, financial and governance challenges.</w:t>
      </w:r>
    </w:p>
    <w:p>
      <w:pPr/>
      <w:r>
        <w:t>The issues could not be addressed as a conventional technology project because technology formed only one part of a wider operating problem.</w:t>
      </w:r>
    </w:p>
    <w:p>
      <w:pPr/>
      <w:r>
        <w:t>Management required a structured understanding of the organisation’s position and a practical route towards a more resilient operating model.</w:t>
      </w:r>
    </w:p>
    <w:p>
      <w:pPr>
        <w:pStyle w:val="Heading3"/>
        <w:pBdr>
          <w:left w:val="single" w:sz="18" w:space="8" w:color="B89555"/>
        </w:pBdr>
      </w:pPr>
      <w:r>
        <w:t>My Role</w:t>
      </w:r>
    </w:p>
    <w:p>
      <w:pPr/>
      <w:r>
        <w:rPr>
          <w:b/>
          <w:color w:val="0B1626"/>
        </w:rPr>
        <w:t>I worked across technology, operational architecture, risk and management decision-making.</w:t>
      </w:r>
    </w:p>
    <w:p>
      <w:pPr/>
      <w:r>
        <w:t>The role required engagement with senior management and specialists across the organisation rather than operating solely within an IT function.</w:t>
      </w:r>
    </w:p>
    <w:p>
      <w:pPr/>
      <w:r>
        <w:t>Areas included:</w:t>
      </w:r>
    </w:p>
    <w:p>
      <w:pPr>
        <w:pStyle w:val="ListBullet"/>
      </w:pPr>
      <w:r>
        <w:t>Technology architecture</w:t>
      </w:r>
    </w:p>
    <w:p>
      <w:pPr>
        <w:pStyle w:val="ListBullet"/>
      </w:pPr>
      <w:r>
        <w:t>Business processes</w:t>
      </w:r>
    </w:p>
    <w:p>
      <w:pPr>
        <w:pStyle w:val="ListBullet"/>
      </w:pPr>
      <w:r>
        <w:t>Management information</w:t>
      </w:r>
    </w:p>
    <w:p>
      <w:pPr>
        <w:pStyle w:val="ListBullet"/>
      </w:pPr>
      <w:r>
        <w:t>Data and reporting</w:t>
      </w:r>
    </w:p>
    <w:p>
      <w:pPr>
        <w:pStyle w:val="ListBullet"/>
      </w:pPr>
      <w:r>
        <w:t>Operational risk</w:t>
      </w:r>
    </w:p>
    <w:p>
      <w:pPr>
        <w:pStyle w:val="ListBullet"/>
      </w:pPr>
      <w:r>
        <w:t>Financial modelling</w:t>
      </w:r>
    </w:p>
    <w:p>
      <w:pPr>
        <w:pStyle w:val="ListBullet"/>
      </w:pPr>
      <w:r>
        <w:t>Recovery and resilience planning</w:t>
      </w:r>
    </w:p>
    <w:p>
      <w:pPr>
        <w:pStyle w:val="ListBullet"/>
      </w:pPr>
      <w:r>
        <w:t>Governance</w:t>
      </w:r>
    </w:p>
    <w:p>
      <w:pPr>
        <w:pStyle w:val="ListBullet"/>
      </w:pPr>
      <w:r>
        <w:t>Regulatory considerations</w:t>
      </w:r>
    </w:p>
    <w:p>
      <w:pPr>
        <w:pStyle w:val="ListBullet"/>
      </w:pPr>
      <w:r>
        <w:t>Identification of automation opportunities</w:t>
      </w:r>
    </w:p>
    <w:p>
      <w:pPr>
        <w:pStyle w:val="Heading3"/>
        <w:pBdr>
          <w:left w:val="single" w:sz="18" w:space="8" w:color="B89555"/>
        </w:pBdr>
      </w:pPr>
      <w:r>
        <w:t>Approach</w:t>
      </w:r>
    </w:p>
    <w:p>
      <w:pPr/>
      <w:r>
        <w:rPr>
          <w:b/>
          <w:color w:val="0B1626"/>
        </w:rPr>
        <w:t>The work began by understanding the organisation as an operating system rather than treating individual technology problems in isolation.</w:t>
      </w:r>
    </w:p>
    <w:p>
      <w:pPr/>
      <w:r>
        <w:t>This involved looking at the relationships between:</w:t>
      </w:r>
    </w:p>
    <w:tbl>
      <w:tblPr>
        <w:tblW w:type="dxa" w:w="9638"/>
        <w:tblLayout w:type="fixed"/>
        <w:tblLook w:firstColumn="1" w:firstRow="1" w:lastColumn="0" w:lastRow="0" w:noHBand="0" w:noVBand="1" w:val="04A0"/>
        <w:tblInd w:w="0" w:type="dxa"/>
        <w:tblBorders>
          <w:top w:val="single" w:sz="5" w:color="A7AFBA"/>
          <w:left w:val="single" w:sz="5" w:color="A7AFBA"/>
          <w:bottom w:val="single" w:sz="5" w:color="A7AFBA"/>
          <w:right w:val="single" w:sz="5" w:color="A7AFBA"/>
        </w:tblBorders>
      </w:tblPr>
      <w:tblGrid>
        <w:gridCol w:w="9638"/>
      </w:tblGrid>
      <w:tr>
        <w:tc>
          <w:tcPr>
            <w:tcW w:type="dxa" w:w="9638"/>
            <w:shd w:fill="F1F2F4"/>
            <w:tcMar>
              <w:top w:w="150" w:type="dxa"/>
              <w:start w:w="230" w:type="dxa"/>
              <w:bottom w:w="150" w:type="dxa"/>
              <w:end w:w="230" w:type="dxa"/>
            </w:tcMar>
          </w:tcPr>
          <w:p>
            <w:pPr>
              <w:spacing w:after="0" w:line="276" w:lineRule="auto"/>
            </w:pPr>
            <w:r>
              <w:rPr>
                <w:rFonts w:ascii="Arial" w:hAnsi="Arial" w:eastAsia="Arial"/>
                <w:b/>
                <w:color w:val="B89555"/>
                <w:sz w:val="16"/>
              </w:rPr>
              <w:t>DELIVERY PATHWAY</w:t>
              <w:br/>
            </w:r>
            <w:r>
              <w:rPr>
                <w:rFonts w:ascii="Arial" w:hAnsi="Arial" w:eastAsia="Arial"/>
                <w:b/>
                <w:color w:val="0B1626"/>
                <w:sz w:val="22"/>
              </w:rPr>
              <w:t>People → Processes → Data → Technology → Controls → Financial outcomes</w:t>
            </w:r>
          </w:p>
        </w:tc>
      </w:tr>
    </w:tbl>
    <w:p>
      <w:pPr>
        <w:spacing w:after="20"/>
      </w:pPr>
    </w:p>
    <w:p>
      <w:pPr/>
      <w:r>
        <w:t>Problems were then separated into those requiring:</w:t>
      </w:r>
    </w:p>
    <w:p>
      <w:pPr>
        <w:pStyle w:val="ListBullet"/>
      </w:pPr>
      <w:r>
        <w:t>Process redesign</w:t>
      </w:r>
    </w:p>
    <w:p>
      <w:pPr>
        <w:pStyle w:val="ListBullet"/>
      </w:pPr>
      <w:r>
        <w:t>Better management information</w:t>
      </w:r>
    </w:p>
    <w:p>
      <w:pPr>
        <w:pStyle w:val="ListBullet"/>
      </w:pPr>
      <w:r>
        <w:t>Technology change</w:t>
      </w:r>
    </w:p>
    <w:p>
      <w:pPr>
        <w:pStyle w:val="ListBullet"/>
      </w:pPr>
      <w:r>
        <w:t>Automation</w:t>
      </w:r>
    </w:p>
    <w:p>
      <w:pPr>
        <w:pStyle w:val="ListBullet"/>
      </w:pPr>
      <w:r>
        <w:t>Stronger controls</w:t>
      </w:r>
    </w:p>
    <w:p>
      <w:pPr>
        <w:pStyle w:val="ListBullet"/>
      </w:pPr>
      <w:r>
        <w:t>Clearer ownership</w:t>
      </w:r>
    </w:p>
    <w:p>
      <w:pPr>
        <w:pStyle w:val="ListBullet"/>
      </w:pPr>
      <w:r>
        <w:t>Executive decision-making</w:t>
      </w:r>
    </w:p>
    <w:p>
      <w:pPr>
        <w:pStyle w:val="Heading3"/>
        <w:pBdr>
          <w:left w:val="single" w:sz="18" w:space="8" w:color="B89555"/>
        </w:pBdr>
      </w:pPr>
      <w:r>
        <w:t>Role of AI</w:t>
      </w:r>
    </w:p>
    <w:p>
      <w:pPr/>
      <w:r>
        <w:rPr>
          <w:b/>
          <w:color w:val="0B1626"/>
        </w:rPr>
        <w:t>AI was assessed as an enabling capability rather than a standalone strategy.</w:t>
      </w:r>
    </w:p>
    <w:p>
      <w:pPr/>
      <w:r>
        <w:t>Potential applications included:</w:t>
      </w:r>
    </w:p>
    <w:p>
      <w:pPr>
        <w:pStyle w:val="ListBullet"/>
      </w:pPr>
      <w:r>
        <w:t>Analysis and management reporting</w:t>
      </w:r>
    </w:p>
    <w:p>
      <w:pPr>
        <w:pStyle w:val="ListBullet"/>
      </w:pPr>
      <w:r>
        <w:t>Document and information processing</w:t>
      </w:r>
    </w:p>
    <w:p>
      <w:pPr>
        <w:pStyle w:val="ListBullet"/>
      </w:pPr>
      <w:r>
        <w:t>Workflow automation</w:t>
      </w:r>
    </w:p>
    <w:p>
      <w:pPr>
        <w:pStyle w:val="ListBullet"/>
      </w:pPr>
      <w:r>
        <w:t>Decision support</w:t>
      </w:r>
    </w:p>
    <w:p>
      <w:pPr>
        <w:pStyle w:val="ListBullet"/>
      </w:pPr>
      <w:r>
        <w:t>Client and operational processes</w:t>
      </w:r>
    </w:p>
    <w:p>
      <w:pPr>
        <w:pStyle w:val="ListBullet"/>
      </w:pPr>
      <w:r>
        <w:t>Technology delivery acceleration</w:t>
      </w:r>
    </w:p>
    <w:p>
      <w:pPr/>
      <w:r>
        <w:rPr>
          <w:b/>
          <w:color w:val="0B1626"/>
        </w:rPr>
        <w:t>Particular attention was required around sensitive information, human accountability and the use of AI within a regulated environment.</w:t>
      </w:r>
    </w:p>
    <w:p>
      <w:pPr>
        <w:pStyle w:val="Heading3"/>
        <w:pBdr>
          <w:left w:val="single" w:sz="18" w:space="8" w:color="B89555"/>
        </w:pBdr>
      </w:pPr>
      <w:r>
        <w:t>Outcome</w:t>
      </w:r>
    </w:p>
    <w:p>
      <w:pPr/>
      <w:r>
        <w:rPr>
          <w:b/>
          <w:color w:val="0B1626"/>
        </w:rPr>
        <w:t>The engagement demonstrated the importance of connecting technology transformation to the wider business operating model.</w:t>
      </w:r>
    </w:p>
    <w:p>
      <w:pPr/>
      <w:r>
        <w:t>Technology decisions could therefore be evaluated in terms of:</w:t>
      </w:r>
    </w:p>
    <w:p>
      <w:pPr>
        <w:pStyle w:val="ListBullet"/>
      </w:pPr>
      <w:r>
        <w:t>Business value</w:t>
      </w:r>
    </w:p>
    <w:p>
      <w:pPr>
        <w:pStyle w:val="ListBullet"/>
      </w:pPr>
      <w:r>
        <w:t>Operational resilience</w:t>
      </w:r>
    </w:p>
    <w:p>
      <w:pPr>
        <w:pStyle w:val="ListBullet"/>
      </w:pPr>
      <w:r>
        <w:t>Risk</w:t>
      </w:r>
    </w:p>
    <w:p>
      <w:pPr>
        <w:pStyle w:val="ListBullet"/>
      </w:pPr>
      <w:r>
        <w:t>Regulatory obligations</w:t>
      </w:r>
    </w:p>
    <w:p>
      <w:pPr>
        <w:pStyle w:val="ListBullet"/>
      </w:pPr>
      <w:r>
        <w:t>Cost</w:t>
      </w:r>
    </w:p>
    <w:p>
      <w:pPr>
        <w:pStyle w:val="ListBullet"/>
      </w:pPr>
      <w:r>
        <w:t>Management capability</w:t>
      </w:r>
    </w:p>
    <w:p>
      <w:pPr>
        <w:jc w:val="center"/>
      </w:pPr>
      <w:r>
        <w:rPr>
          <w:b/>
          <w:color w:val="B89555"/>
        </w:rPr>
        <w:t>rather than technology capability alone.</w:t>
      </w:r>
    </w:p>
    <w:p>
      <w:pPr>
        <w:pStyle w:val="Heading3"/>
        <w:pBdr>
          <w:left w:val="single" w:sz="18" w:space="8" w:color="B89555"/>
        </w:pBdr>
      </w:pPr>
      <w:r>
        <w:t>Key Lesson</w:t>
      </w:r>
    </w:p>
    <w:p>
      <w:pPr/>
      <w:r>
        <w:rPr>
          <w:b/>
          <w:color w:val="0B1626"/>
        </w:rPr>
        <w:t>Many organisations do not primarily have an AI problem or even a technology problem.</w:t>
      </w:r>
    </w:p>
    <w:p>
      <w:pPr/>
      <w:r>
        <w:t>They have an operating-model problem.</w:t>
      </w:r>
    </w:p>
    <w:p>
      <w:pPr/>
      <w:r>
        <w:t>The role of the technology and AI advisor is to understand the business sufficiently well to determine where technology should intervene — and where it should not.</w:t>
      </w:r>
    </w:p>
    <w:p/>
    <w:tbl>
      <w:tblPr>
        <w:tblW w:type="dxa" w:w="9638"/>
        <w:tblLayout w:type="fixed"/>
        <w:tblLook w:firstColumn="1" w:firstRow="1" w:lastColumn="0" w:lastRow="0" w:noHBand="0" w:noVBand="1" w:val="04A0"/>
        <w:tblInd w:w="0" w:type="dxa"/>
        <w:tblBorders>
          <w:top w:val="single" w:sz="0" w:color="0B1626"/>
          <w:left w:val="single" w:sz="0" w:color="0B1626"/>
          <w:bottom w:val="single" w:sz="0" w:color="0B1626"/>
          <w:right w:val="single" w:sz="0" w:color="0B1626"/>
        </w:tblBorders>
      </w:tblPr>
      <w:tblGrid>
        <w:gridCol w:w="9638"/>
      </w:tblGrid>
      <w:tr>
        <w:tc>
          <w:tcPr>
            <w:tcW w:type="dxa" w:w="9638"/>
            <w:shd w:fill="0B1626"/>
            <w:tcMar>
              <w:top w:w="210" w:type="dxa"/>
              <w:start w:w="260" w:type="dxa"/>
              <w:bottom w:w="210" w:type="dxa"/>
              <w:end w:w="260" w:type="dxa"/>
            </w:tcMar>
          </w:tcPr>
          <w:p>
            <w:r>
              <w:rPr>
                <w:rFonts w:ascii="Arial" w:hAnsi="Arial" w:eastAsia="Arial"/>
                <w:b/>
                <w:color w:val="B89555"/>
                <w:sz w:val="18"/>
              </w:rPr>
              <w:t>DISCUSS A BUSINESS PROBLEM</w:t>
            </w:r>
          </w:p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28"/>
              </w:rPr>
              <w:t>www.bayantech.co.uk</w:t>
            </w:r>
          </w:p>
        </w:tc>
      </w:tr>
    </w:tbl>
    <w:sectPr w:rsidR="00FC693F" w:rsidRPr="0006063C" w:rsidSect="00034616">
      <w:headerReference w:type="default" r:id="rId10"/>
      <w:footerReference w:type="default" r:id="rId11"/>
      <w:headerReference w:type="even" r:id="rId12"/>
      <w:pgSz w:w="11906" w:h="16838"/>
      <w:pgMar w:top="1020" w:right="1134" w:bottom="1020" w:left="1134" w:header="369" w:footer="36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tbl>
    <w:tblPr>
      <w:tblW w:type="dxa" w:w="9638"/>
      <w:tblLayout w:type="fixed"/>
      <w:tblLook w:firstColumn="1" w:firstRow="1" w:lastColumn="0" w:lastRow="0" w:noHBand="0" w:noVBand="1" w:val="04A0"/>
      <w:tblInd w:w="0" w:type="dxa"/>
    </w:tblPr>
    <w:tblGrid>
      <w:gridCol w:w="7654"/>
      <w:gridCol w:w="1984"/>
    </w:tblGrid>
    <w:tr>
      <w:tc>
        <w:tcPr>
          <w:tcW w:type="dxa" w:w="4819"/>
          <w:tcMar>
            <w:top w:w="0" w:type="dxa"/>
            <w:start w:w="0" w:type="dxa"/>
            <w:bottom w:w="0" w:type="dxa"/>
            <w:end w:w="0" w:type="dxa"/>
          </w:tcMar>
        </w:tcPr>
        <w:p>
          <w:r>
            <w:rPr>
              <w:rFonts w:ascii="Arial" w:hAnsi="Arial" w:eastAsia="Arial"/>
              <w:b w:val="0"/>
              <w:color w:val="66707C"/>
              <w:sz w:val="14"/>
            </w:rPr>
            <w:t>BAYANTECH  •  PRACTICAL AI. REAL-WORLD IMPACT.  •  WWW.BAYANTECH.CO.UK</w:t>
          </w:r>
        </w:p>
      </w:tc>
      <w:tc>
        <w:tcPr>
          <w:tcW w:type="dxa" w:w="4819"/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jc w:val="right"/>
          </w:pPr>
          <w:r>
            <w:rPr>
              <w:rFonts w:ascii="Arial" w:hAnsi="Arial"/>
              <w:color w:val="66707C"/>
              <w:sz w:val="16"/>
            </w:rPr>
            <w:fldChar w:fldCharType="begin"/>
            <w:instrText xml:space="preserve"> PAGE </w:instrText>
            <w:fldChar w:fldCharType="end"/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  <w:pBdr>
        <w:bottom w:val="single" w:sz="6" w:space="6" w:color="A7AFBA"/>
      </w:pBdr>
    </w:pPr>
    <w:r>
      <w:rPr>
        <w:rFonts w:ascii="Arial" w:hAnsi="Arial" w:eastAsia="Arial"/>
        <w:b/>
        <w:color w:val="0B1626"/>
        <w:sz w:val="18"/>
      </w:rPr>
      <w:t>BAYANTECH</w:t>
    </w:r>
    <w:r>
      <w:rPr>
        <w:rFonts w:ascii="Arial" w:hAnsi="Arial" w:eastAsia="Arial"/>
        <w:b/>
        <w:color w:val="B89555"/>
        <w:sz w:val="16"/>
      </w:rPr>
      <w:t xml:space="preserve">  •  </w:t>
    </w:r>
    <w:r>
      <w:rPr>
        <w:rFonts w:ascii="Arial" w:hAnsi="Arial" w:eastAsia="Arial"/>
        <w:b w:val="0"/>
        <w:color w:val="66707C"/>
        <w:sz w:val="15"/>
      </w:rPr>
      <w:t>CASE STUDY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  <w:pBdr>
        <w:bottom w:val="single" w:sz="6" w:space="6" w:color="A7AFBA"/>
      </w:pBdr>
    </w:pPr>
    <w:r>
      <w:rPr>
        <w:rFonts w:ascii="Arial" w:hAnsi="Arial" w:eastAsia="Arial"/>
        <w:b/>
        <w:color w:val="0B1626"/>
        <w:sz w:val="18"/>
      </w:rPr>
      <w:t>BAYANTECH</w:t>
    </w:r>
    <w:r>
      <w:rPr>
        <w:rFonts w:ascii="Arial" w:hAnsi="Arial" w:eastAsia="Arial"/>
        <w:b/>
        <w:color w:val="B89555"/>
        <w:sz w:val="16"/>
      </w:rPr>
      <w:t xml:space="preserve">  •  </w:t>
    </w:r>
    <w:r>
      <w:rPr>
        <w:rFonts w:ascii="Arial" w:hAnsi="Arial" w:eastAsia="Arial"/>
        <w:b w:val="0"/>
        <w:color w:val="66707C"/>
        <w:sz w:val="15"/>
      </w:rPr>
      <w:t>CASE STUDY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Arial" w:hAnsi="Arial" w:eastAsia="Arial"/>
      <w:color w:val="20273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0B1626"/>
      <w:sz w:val="4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2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B89555"/>
      <w:sz w:val="3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300" w:after="120"/>
      <w:outlineLvl w:val="2"/>
    </w:pPr>
    <w:rPr>
      <w:rFonts w:asciiTheme="majorHAnsi" w:eastAsiaTheme="majorEastAsia" w:hAnsiTheme="majorHAnsi" w:cstheme="majorBidi" w:ascii="Arial" w:hAnsi="Arial" w:eastAsia="Arial"/>
      <w:b/>
      <w:bCs/>
      <w:color w:val="0B1626"/>
      <w:sz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200" w:line="240" w:lineRule="auto" w:before="0"/>
      <w:contextualSpacing/>
    </w:pPr>
    <w:rPr>
      <w:rFonts w:asciiTheme="majorHAnsi" w:eastAsiaTheme="majorEastAsia" w:hAnsiTheme="majorHAnsi" w:cstheme="majorBidi" w:ascii="Arial" w:hAnsi="Arial" w:eastAsia="Arial"/>
      <w:b/>
      <w:color w:val="0B1626"/>
      <w:spacing w:val="5"/>
      <w:kern w:val="28"/>
      <w:sz w:val="6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before="0" w:after="320"/>
    </w:pPr>
    <w:rPr>
      <w:rFonts w:asciiTheme="majorHAnsi" w:eastAsiaTheme="majorEastAsia" w:hAnsiTheme="majorHAnsi" w:cstheme="majorBidi" w:ascii="Arial" w:hAnsi="Arial" w:eastAsia="Arial"/>
      <w:b/>
      <w:i/>
      <w:iCs/>
      <w:color w:val="66707C"/>
      <w:spacing w:val="15"/>
      <w:sz w:val="28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80" w:line="276" w:lineRule="auto"/>
      <w:ind w:left="369" w:hanging="181"/>
      <w:contextualSpacing/>
    </w:pPr>
    <w:rPr>
      <w:rFonts w:ascii="Arial" w:hAnsi="Arial"/>
      <w:color w:val="202732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80" w:line="276" w:lineRule="auto"/>
      <w:ind w:left="369" w:hanging="181"/>
      <w:contextualSpacing/>
    </w:pPr>
    <w:rPr>
      <w:rFonts w:ascii="Arial" w:hAnsi="Arial"/>
      <w:color w:val="202732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header" Target="header1.xml"/><Relationship Id="rId11" Type="http://schemas.openxmlformats.org/officeDocument/2006/relationships/footer" Target="footer1.xml"/><Relationship Id="rId12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Case Study</dc:subject>
  <dc:creator>Bayantech Ltd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